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6"/>
        </w:rPr>
      </w:pPr>
      <w:r>
        <w:rPr>
          <w:rFonts w:hint="eastAsia" w:ascii="仿宋" w:hAnsi="仿宋" w:eastAsia="仿宋"/>
          <w:sz w:val="36"/>
        </w:rPr>
        <w:t>采购招标项目参数要求表格说明</w:t>
      </w:r>
    </w:p>
    <w:p>
      <w:pPr>
        <w:jc w:val="center"/>
        <w:rPr>
          <w:rFonts w:ascii="仿宋" w:hAnsi="仿宋" w:eastAsia="仿宋"/>
          <w:sz w:val="32"/>
        </w:rPr>
      </w:pPr>
    </w:p>
    <w:p>
      <w:pPr>
        <w:rPr>
          <w:rFonts w:ascii="仿宋" w:hAnsi="仿宋" w:eastAsia="仿宋"/>
          <w:sz w:val="32"/>
        </w:rPr>
      </w:pPr>
      <w:r>
        <w:rPr>
          <w:rFonts w:hint="eastAsia" w:ascii="仿宋" w:hAnsi="仿宋" w:eastAsia="仿宋"/>
          <w:sz w:val="32"/>
        </w:rPr>
        <w:t xml:space="preserve">    一、本表格为细化预算参数使用，所填参数不可与已获批申购预算有冲突，如有冲突以学校已批文件为准。</w:t>
      </w:r>
    </w:p>
    <w:p>
      <w:pPr>
        <w:rPr>
          <w:rFonts w:ascii="仿宋" w:hAnsi="仿宋" w:eastAsia="仿宋"/>
          <w:sz w:val="32"/>
        </w:rPr>
      </w:pPr>
      <w:r>
        <w:rPr>
          <w:rFonts w:hint="eastAsia" w:ascii="仿宋" w:hAnsi="仿宋" w:eastAsia="仿宋"/>
          <w:sz w:val="32"/>
        </w:rPr>
        <w:t xml:space="preserve">    二、技术指标里不得含有排他性技术指标（申购预算里已指定品牌型号的除外），如经核实指标单条或多条组合具有排他性的，根据相关规定，需经使用单位修改或补充书面说明后方可启动招标或谈判程序。根据需要指定品牌时，亦需附相关说明。</w:t>
      </w:r>
    </w:p>
    <w:p>
      <w:pPr>
        <w:rPr>
          <w:rFonts w:ascii="仿宋" w:hAnsi="仿宋" w:eastAsia="仿宋"/>
          <w:sz w:val="32"/>
        </w:rPr>
      </w:pPr>
      <w:r>
        <w:rPr>
          <w:rFonts w:hint="eastAsia" w:ascii="仿宋" w:hAnsi="仿宋" w:eastAsia="仿宋"/>
          <w:sz w:val="32"/>
        </w:rPr>
        <w:t xml:space="preserve">   三、本参数一经挂网公示，原则上不允许修改，如确有需要修改的，按照学校《吉林大学珠海学院采购与招标管理办法》第二十九条之规定，在招标公告发布3天内向采购中心提交暂停采购的书面报告。</w:t>
      </w:r>
    </w:p>
    <w:p>
      <w:pPr>
        <w:rPr>
          <w:rFonts w:ascii="仿宋" w:hAnsi="仿宋" w:eastAsia="仿宋"/>
          <w:sz w:val="32"/>
        </w:rPr>
      </w:pPr>
      <w:r>
        <w:rPr>
          <w:rFonts w:hint="eastAsia" w:ascii="仿宋" w:hAnsi="仿宋" w:eastAsia="仿宋"/>
          <w:sz w:val="32"/>
        </w:rPr>
        <w:t xml:space="preserve">   四、招标会议开始后，原则上不允许现场增减参数要求，如发现有重要参数指标缺失将对学校造成重大利益损失的，招标会议立即终止，现场宣布流标，会后使用单位需以书面形式向采购招标领导小组说明情况。</w:t>
      </w:r>
    </w:p>
    <w:p>
      <w:pPr>
        <w:rPr>
          <w:sz w:val="24"/>
        </w:rPr>
      </w:pPr>
    </w:p>
    <w:p>
      <w:pPr>
        <w:rPr>
          <w:sz w:val="24"/>
        </w:rPr>
      </w:pPr>
    </w:p>
    <w:p>
      <w:pPr>
        <w:rPr>
          <w:sz w:val="24"/>
        </w:rPr>
      </w:pPr>
    </w:p>
    <w:p>
      <w:pPr>
        <w:rPr>
          <w:sz w:val="24"/>
        </w:rPr>
      </w:pPr>
    </w:p>
    <w:p>
      <w:pPr>
        <w:rPr>
          <w:sz w:val="24"/>
        </w:rPr>
      </w:pPr>
    </w:p>
    <w:p>
      <w:pPr>
        <w:jc w:val="center"/>
        <w:rPr>
          <w:rFonts w:ascii="仿宋" w:hAnsi="仿宋" w:eastAsia="仿宋"/>
          <w:sz w:val="32"/>
        </w:rPr>
      </w:pPr>
      <w:r>
        <w:rPr>
          <w:rFonts w:hint="eastAsia" w:ascii="仿宋" w:hAnsi="仿宋" w:eastAsia="仿宋"/>
          <w:sz w:val="32"/>
        </w:rPr>
        <w:t>采购招标项目参数要求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418"/>
        <w:gridCol w:w="850"/>
        <w:gridCol w:w="1447"/>
        <w:gridCol w:w="113"/>
        <w:gridCol w:w="1842"/>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tcPr>
          <w:p>
            <w:pPr>
              <w:jc w:val="left"/>
              <w:rPr>
                <w:rFonts w:ascii="仿宋" w:hAnsi="仿宋" w:eastAsia="仿宋"/>
                <w:sz w:val="28"/>
                <w:szCs w:val="28"/>
              </w:rPr>
            </w:pPr>
            <w:r>
              <w:rPr>
                <w:rFonts w:hint="eastAsia" w:ascii="仿宋" w:hAnsi="仿宋" w:eastAsia="仿宋"/>
                <w:sz w:val="28"/>
                <w:szCs w:val="28"/>
              </w:rPr>
              <w:t>项目名称</w:t>
            </w:r>
          </w:p>
        </w:tc>
        <w:tc>
          <w:tcPr>
            <w:tcW w:w="2297" w:type="dxa"/>
            <w:gridSpan w:val="2"/>
          </w:tcPr>
          <w:p>
            <w:pPr>
              <w:jc w:val="left"/>
              <w:rPr>
                <w:rFonts w:ascii="仿宋" w:hAnsi="仿宋" w:eastAsia="仿宋"/>
                <w:sz w:val="28"/>
                <w:szCs w:val="28"/>
              </w:rPr>
            </w:pPr>
            <w:r>
              <w:rPr>
                <w:rFonts w:hint="eastAsia" w:ascii="仿宋" w:hAnsi="仿宋" w:eastAsia="仿宋"/>
                <w:sz w:val="28"/>
                <w:szCs w:val="28"/>
              </w:rPr>
              <w:t>深信服AD-1000-F680</w:t>
            </w:r>
          </w:p>
        </w:tc>
        <w:tc>
          <w:tcPr>
            <w:tcW w:w="1955" w:type="dxa"/>
            <w:gridSpan w:val="2"/>
          </w:tcPr>
          <w:p>
            <w:pPr>
              <w:jc w:val="left"/>
              <w:rPr>
                <w:rFonts w:ascii="仿宋" w:hAnsi="仿宋" w:eastAsia="仿宋"/>
                <w:sz w:val="28"/>
                <w:szCs w:val="28"/>
              </w:rPr>
            </w:pPr>
            <w:r>
              <w:rPr>
                <w:rFonts w:hint="eastAsia" w:ascii="仿宋" w:hAnsi="仿宋" w:eastAsia="仿宋"/>
                <w:sz w:val="28"/>
                <w:szCs w:val="28"/>
              </w:rPr>
              <w:t>采购编号</w:t>
            </w:r>
          </w:p>
        </w:tc>
        <w:tc>
          <w:tcPr>
            <w:tcW w:w="2064" w:type="dxa"/>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tcPr>
          <w:p>
            <w:pPr>
              <w:jc w:val="left"/>
              <w:rPr>
                <w:rFonts w:ascii="仿宋" w:hAnsi="仿宋" w:eastAsia="仿宋"/>
                <w:sz w:val="28"/>
                <w:szCs w:val="28"/>
              </w:rPr>
            </w:pPr>
            <w:r>
              <w:rPr>
                <w:rFonts w:hint="eastAsia" w:ascii="仿宋" w:hAnsi="仿宋" w:eastAsia="仿宋"/>
                <w:sz w:val="28"/>
                <w:szCs w:val="28"/>
              </w:rPr>
              <w:t>供货时间</w:t>
            </w:r>
          </w:p>
        </w:tc>
        <w:tc>
          <w:tcPr>
            <w:tcW w:w="2297" w:type="dxa"/>
            <w:gridSpan w:val="2"/>
          </w:tcPr>
          <w:p>
            <w:pPr>
              <w:jc w:val="left"/>
              <w:rPr>
                <w:rFonts w:ascii="仿宋" w:hAnsi="仿宋" w:eastAsia="仿宋"/>
                <w:sz w:val="28"/>
                <w:szCs w:val="28"/>
              </w:rPr>
            </w:pPr>
            <w:r>
              <w:rPr>
                <w:rFonts w:hint="eastAsia" w:ascii="仿宋" w:hAnsi="仿宋" w:eastAsia="仿宋"/>
                <w:sz w:val="28"/>
                <w:szCs w:val="28"/>
              </w:rPr>
              <w:t>2020.08.25</w:t>
            </w:r>
          </w:p>
        </w:tc>
        <w:tc>
          <w:tcPr>
            <w:tcW w:w="1955" w:type="dxa"/>
            <w:gridSpan w:val="2"/>
          </w:tcPr>
          <w:p>
            <w:pPr>
              <w:jc w:val="left"/>
              <w:rPr>
                <w:rFonts w:ascii="仿宋" w:hAnsi="仿宋" w:eastAsia="仿宋"/>
                <w:sz w:val="28"/>
                <w:szCs w:val="28"/>
              </w:rPr>
            </w:pPr>
            <w:r>
              <w:rPr>
                <w:rFonts w:hint="eastAsia" w:ascii="仿宋" w:hAnsi="仿宋" w:eastAsia="仿宋"/>
                <w:sz w:val="28"/>
                <w:szCs w:val="28"/>
              </w:rPr>
              <w:t>供货地点</w:t>
            </w:r>
          </w:p>
        </w:tc>
        <w:tc>
          <w:tcPr>
            <w:tcW w:w="2064" w:type="dxa"/>
          </w:tcPr>
          <w:p>
            <w:pPr>
              <w:jc w:val="left"/>
              <w:rPr>
                <w:rFonts w:ascii="仿宋" w:hAnsi="仿宋" w:eastAsia="仿宋"/>
                <w:sz w:val="28"/>
                <w:szCs w:val="28"/>
              </w:rPr>
            </w:pPr>
            <w:r>
              <w:rPr>
                <w:rFonts w:hint="eastAsia" w:ascii="仿宋" w:hAnsi="仿宋" w:eastAsia="仿宋"/>
                <w:sz w:val="28"/>
                <w:szCs w:val="28"/>
              </w:rPr>
              <w:t>吉林大学珠海学院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tcPr>
          <w:p>
            <w:pPr>
              <w:jc w:val="left"/>
              <w:rPr>
                <w:rFonts w:ascii="仿宋" w:hAnsi="仿宋" w:eastAsia="仿宋"/>
                <w:sz w:val="28"/>
                <w:szCs w:val="28"/>
              </w:rPr>
            </w:pPr>
            <w:r>
              <w:rPr>
                <w:rFonts w:hint="eastAsia" w:ascii="仿宋" w:hAnsi="仿宋" w:eastAsia="仿宋"/>
                <w:sz w:val="28"/>
                <w:szCs w:val="28"/>
              </w:rPr>
              <w:t>售后服务要求</w:t>
            </w:r>
          </w:p>
        </w:tc>
        <w:tc>
          <w:tcPr>
            <w:tcW w:w="2297" w:type="dxa"/>
            <w:gridSpan w:val="2"/>
          </w:tcPr>
          <w:p>
            <w:pPr>
              <w:jc w:val="left"/>
              <w:rPr>
                <w:rFonts w:ascii="仿宋" w:hAnsi="仿宋" w:eastAsia="仿宋"/>
                <w:sz w:val="28"/>
                <w:szCs w:val="28"/>
              </w:rPr>
            </w:pPr>
            <w:r>
              <w:rPr>
                <w:rFonts w:hint="eastAsia" w:ascii="仿宋" w:hAnsi="仿宋" w:eastAsia="仿宋"/>
                <w:sz w:val="28"/>
                <w:szCs w:val="28"/>
              </w:rPr>
              <w:t>1年</w:t>
            </w:r>
          </w:p>
        </w:tc>
        <w:tc>
          <w:tcPr>
            <w:tcW w:w="1955" w:type="dxa"/>
            <w:gridSpan w:val="2"/>
          </w:tcPr>
          <w:p>
            <w:pPr>
              <w:jc w:val="left"/>
              <w:rPr>
                <w:rFonts w:ascii="仿宋" w:hAnsi="仿宋" w:eastAsia="仿宋"/>
                <w:sz w:val="28"/>
                <w:szCs w:val="28"/>
              </w:rPr>
            </w:pPr>
            <w:r>
              <w:rPr>
                <w:rFonts w:hint="eastAsia" w:ascii="仿宋" w:hAnsi="仿宋" w:eastAsia="仿宋"/>
                <w:sz w:val="28"/>
                <w:szCs w:val="28"/>
              </w:rPr>
              <w:t>安装调试要求</w:t>
            </w:r>
          </w:p>
        </w:tc>
        <w:tc>
          <w:tcPr>
            <w:tcW w:w="2064" w:type="dxa"/>
          </w:tcPr>
          <w:p>
            <w:pPr>
              <w:jc w:val="left"/>
              <w:rPr>
                <w:rFonts w:ascii="仿宋" w:hAnsi="仿宋" w:eastAsia="仿宋"/>
                <w:sz w:val="28"/>
                <w:szCs w:val="28"/>
              </w:rPr>
            </w:pPr>
            <w:r>
              <w:rPr>
                <w:rFonts w:hint="eastAsia" w:ascii="仿宋" w:hAnsi="仿宋" w:eastAsia="仿宋"/>
                <w:sz w:val="28"/>
                <w:szCs w:val="28"/>
              </w:rPr>
              <w:t>有现场培训和演示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8296" w:type="dxa"/>
            <w:gridSpan w:val="7"/>
          </w:tcPr>
          <w:p>
            <w:pPr>
              <w:rPr>
                <w:rFonts w:ascii="仿宋" w:hAnsi="仿宋" w:eastAsia="仿宋"/>
                <w:sz w:val="28"/>
                <w:szCs w:val="28"/>
              </w:rPr>
            </w:pPr>
            <w:r>
              <w:rPr>
                <w:rFonts w:hint="eastAsia" w:ascii="仿宋" w:hAnsi="仿宋" w:eastAsia="仿宋"/>
                <w:sz w:val="28"/>
                <w:szCs w:val="28"/>
              </w:rPr>
              <w:t>项目概述：</w:t>
            </w:r>
            <w:r>
              <w:rPr>
                <w:rFonts w:hint="eastAsia" w:ascii="仿宋" w:hAnsi="仿宋" w:eastAsia="仿宋"/>
                <w:sz w:val="28"/>
                <w:szCs w:val="28"/>
                <w:lang w:eastAsia="zh-CN"/>
              </w:rPr>
              <w:t>按照省厅要求需要完成</w:t>
            </w:r>
            <w:r>
              <w:rPr>
                <w:rFonts w:hint="eastAsia" w:ascii="仿宋" w:hAnsi="仿宋" w:eastAsia="仿宋"/>
                <w:sz w:val="28"/>
                <w:szCs w:val="28"/>
                <w:lang w:val="en-US" w:eastAsia="zh-CN"/>
              </w:rPr>
              <w:t>IPV6改造，同时学校需要全面启用以.edu.cn结尾的域名，并全面停用原有以.com结尾的域名，需要采购一台设备以应对变化。</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7"/>
          </w:tcPr>
          <w:p>
            <w:pPr>
              <w:rPr>
                <w:rFonts w:ascii="仿宋" w:hAnsi="仿宋" w:eastAsia="仿宋"/>
                <w:b/>
                <w:sz w:val="28"/>
                <w:szCs w:val="28"/>
              </w:rPr>
            </w:pPr>
            <w:r>
              <w:rPr>
                <w:rFonts w:hint="eastAsia" w:ascii="仿宋" w:hAnsi="仿宋" w:eastAsia="仿宋"/>
                <w:b/>
                <w:sz w:val="28"/>
                <w:szCs w:val="28"/>
              </w:rPr>
              <w:t>重要技术指标（必填）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仿宋" w:hAnsi="仿宋" w:eastAsia="仿宋"/>
                <w:sz w:val="28"/>
                <w:szCs w:val="28"/>
              </w:rPr>
            </w:pPr>
            <w:r>
              <w:rPr>
                <w:rFonts w:hint="eastAsia" w:ascii="仿宋" w:hAnsi="仿宋" w:eastAsia="仿宋"/>
                <w:sz w:val="24"/>
                <w:szCs w:val="28"/>
              </w:rPr>
              <w:t>序号</w:t>
            </w:r>
          </w:p>
        </w:tc>
        <w:tc>
          <w:tcPr>
            <w:tcW w:w="1418" w:type="dxa"/>
          </w:tcPr>
          <w:p>
            <w:pPr>
              <w:rPr>
                <w:rFonts w:ascii="仿宋" w:hAnsi="仿宋" w:eastAsia="仿宋"/>
                <w:sz w:val="28"/>
                <w:szCs w:val="28"/>
              </w:rPr>
            </w:pPr>
            <w:r>
              <w:rPr>
                <w:rFonts w:hint="eastAsia" w:ascii="仿宋" w:hAnsi="仿宋" w:eastAsia="仿宋"/>
                <w:sz w:val="28"/>
                <w:szCs w:val="28"/>
              </w:rPr>
              <w:t>指标名称</w:t>
            </w:r>
          </w:p>
        </w:tc>
        <w:tc>
          <w:tcPr>
            <w:tcW w:w="6316" w:type="dxa"/>
            <w:gridSpan w:val="5"/>
          </w:tcPr>
          <w:p>
            <w:pPr>
              <w:rPr>
                <w:rFonts w:ascii="仿宋" w:hAnsi="仿宋" w:eastAsia="仿宋"/>
                <w:sz w:val="28"/>
                <w:szCs w:val="28"/>
              </w:rPr>
            </w:pPr>
            <w:r>
              <w:rPr>
                <w:rFonts w:hint="eastAsia" w:ascii="仿宋" w:hAnsi="仿宋" w:eastAsia="仿宋"/>
                <w:sz w:val="28"/>
                <w:szCs w:val="28"/>
              </w:rPr>
              <w:t>参数明细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sz w:val="21"/>
              </w:rPr>
              <w:t>序号</w:t>
            </w:r>
          </w:p>
        </w:tc>
        <w:tc>
          <w:tcPr>
            <w:tcW w:w="1418" w:type="dxa"/>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sz w:val="21"/>
              </w:rPr>
              <w:t>指标</w:t>
            </w:r>
          </w:p>
        </w:tc>
        <w:tc>
          <w:tcPr>
            <w:tcW w:w="6316" w:type="dxa"/>
            <w:gridSpan w:val="5"/>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sz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color w:val="000000" w:themeColor="text1"/>
                <w:sz w:val="21"/>
                <w:lang w:val="en-US" w:eastAsia="zh-CN"/>
              </w:rPr>
              <w:t>1</w:t>
            </w:r>
          </w:p>
        </w:tc>
        <w:tc>
          <w:tcPr>
            <w:tcW w:w="1418" w:type="dxa"/>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color w:val="000000" w:themeColor="text1"/>
                <w:sz w:val="21"/>
                <w:lang w:val="en-US" w:eastAsia="zh-CN"/>
              </w:rPr>
              <w:t>硬件性能</w:t>
            </w:r>
          </w:p>
        </w:tc>
        <w:tc>
          <w:tcPr>
            <w:tcW w:w="6316" w:type="dxa"/>
            <w:gridSpan w:val="5"/>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color w:val="000000" w:themeColor="text1"/>
                <w:sz w:val="21"/>
                <w:szCs w:val="21"/>
              </w:rPr>
              <w:t>★</w:t>
            </w:r>
            <w:r>
              <w:rPr>
                <w:rFonts w:hint="eastAsia" w:ascii="微软雅黑" w:hAnsi="微软雅黑" w:eastAsia="微软雅黑" w:cs="Arial"/>
                <w:color w:val="000000" w:themeColor="text1"/>
                <w:sz w:val="21"/>
                <w:szCs w:val="21"/>
              </w:rPr>
              <w:t>性能参数：4层吞吐量（默认网口）≥11Gbps，并发连接数≥9000000，4层新建连接数≥ CPS350000，7层新建连接数≥ RPS150000，7层新建连接数 RPS（开启连接池）≥350000。 硬件参数：内存≥8GB，硬盘≥SSD 240GB</w:t>
            </w:r>
            <w:r>
              <w:rPr>
                <w:rFonts w:hint="eastAsia" w:ascii="微软雅黑" w:hAnsi="微软雅黑" w:eastAsia="微软雅黑" w:cs="Arial"/>
                <w:color w:val="000000" w:themeColor="text1"/>
                <w:sz w:val="21"/>
                <w:szCs w:val="21"/>
                <w:lang w:eastAsia="zh-CN"/>
              </w:rPr>
              <w:t>，</w:t>
            </w:r>
            <w:r>
              <w:rPr>
                <w:rFonts w:hint="eastAsia" w:ascii="微软雅黑" w:hAnsi="微软雅黑" w:eastAsia="微软雅黑" w:cs="Arial"/>
                <w:color w:val="000000" w:themeColor="text1"/>
                <w:sz w:val="21"/>
                <w:szCs w:val="21"/>
                <w:lang w:val="en-US" w:eastAsia="zh-CN"/>
              </w:rPr>
              <w:t>网口</w:t>
            </w:r>
            <w:r>
              <w:rPr>
                <w:rFonts w:hint="eastAsia" w:ascii="微软雅黑" w:hAnsi="微软雅黑" w:eastAsia="微软雅黑" w:cs="Arial"/>
                <w:color w:val="000000" w:themeColor="text1"/>
                <w:sz w:val="21"/>
                <w:szCs w:val="21"/>
              </w:rPr>
              <w:t>≥ 6个千兆电口8个千兆光口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color w:val="000000" w:themeColor="text1"/>
                <w:sz w:val="21"/>
                <w:lang w:val="en-US" w:eastAsia="zh-CN"/>
              </w:rPr>
              <w:t>2</w:t>
            </w:r>
          </w:p>
        </w:tc>
        <w:tc>
          <w:tcPr>
            <w:tcW w:w="1418" w:type="dxa"/>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color w:val="000000" w:themeColor="text1"/>
                <w:sz w:val="21"/>
              </w:rPr>
              <w:t>设备部署</w:t>
            </w:r>
          </w:p>
        </w:tc>
        <w:tc>
          <w:tcPr>
            <w:tcW w:w="6316" w:type="dxa"/>
            <w:gridSpan w:val="5"/>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color w:val="000000" w:themeColor="text1"/>
                <w:sz w:val="21"/>
                <w:szCs w:val="21"/>
              </w:rPr>
              <w:t>支持串接部署方式和旁路部署方式，支持三角传输模式。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color w:val="000000" w:themeColor="text1"/>
                <w:sz w:val="21"/>
                <w:lang w:val="en-US" w:eastAsia="zh-CN"/>
              </w:rPr>
              <w:t>3</w:t>
            </w:r>
          </w:p>
        </w:tc>
        <w:tc>
          <w:tcPr>
            <w:tcW w:w="1418" w:type="dxa"/>
            <w:vMerge w:val="restart"/>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color w:val="000000" w:themeColor="text1"/>
                <w:sz w:val="21"/>
              </w:rPr>
              <w:t>多合一功能集成</w:t>
            </w:r>
          </w:p>
        </w:tc>
        <w:tc>
          <w:tcPr>
            <w:tcW w:w="6316" w:type="dxa"/>
            <w:gridSpan w:val="5"/>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color w:val="000000" w:themeColor="text1"/>
                <w:sz w:val="21"/>
                <w:szCs w:val="21"/>
              </w:rPr>
              <w:t>提供针对多条出口线路的链路负载均衡功能，实现inbound和outbound流量的均衡调度，以及链路之间的冗余互备。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color w:val="000000" w:themeColor="text1"/>
                <w:sz w:val="21"/>
                <w:szCs w:val="21"/>
              </w:rPr>
              <w:t>提供针对L4/L7内容交换的服务器负载均衡功能，可在单一设备上支持多个应用和服务器集群，可以根据多种算法和要求分配用户的请求。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color w:val="000000" w:themeColor="text1"/>
                <w:sz w:val="21"/>
                <w:szCs w:val="21"/>
              </w:rPr>
              <w:t>提供针对多站点业务发布的全局负载均衡功能，通过智能DNS等机制实现内外网用户对多个数据中心的最优接入路径选择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color w:val="000000" w:themeColor="text1"/>
                <w:sz w:val="21"/>
                <w:szCs w:val="21"/>
              </w:rPr>
              <w:t>单一设备可同时支持包括链路负载均衡、全局负载均衡和服务器负载均衡的功能。三种功能同时处于激活可使用状态，无需额外购买相应授权。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color w:val="000000" w:themeColor="text1"/>
                <w:sz w:val="21"/>
                <w:lang w:val="en-US" w:eastAsia="zh-CN"/>
              </w:rPr>
              <w:t>4</w:t>
            </w:r>
          </w:p>
        </w:tc>
        <w:tc>
          <w:tcPr>
            <w:tcW w:w="1418" w:type="dxa"/>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color w:val="000000" w:themeColor="text1"/>
                <w:sz w:val="21"/>
              </w:rPr>
              <w:t>负载均衡算法</w:t>
            </w:r>
          </w:p>
        </w:tc>
        <w:tc>
          <w:tcPr>
            <w:tcW w:w="6316" w:type="dxa"/>
            <w:gridSpan w:val="5"/>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color w:val="000000" w:themeColor="text1"/>
                <w:sz w:val="21"/>
                <w:szCs w:val="21"/>
              </w:rPr>
              <w:t>支持轮询、加权轮询、按主机加权轮询、加权最小连接、按主机加权最小连接、动态反馈、最快响应、最小流量、加权最小流量、按主机加权最小流量、带宽比例、哈希、主备、首个可用、优先级等算法。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color w:val="000000" w:themeColor="text1"/>
                <w:sz w:val="21"/>
                <w:lang w:val="en-US" w:eastAsia="zh-CN"/>
              </w:rPr>
              <w:t>5</w:t>
            </w:r>
          </w:p>
        </w:tc>
        <w:tc>
          <w:tcPr>
            <w:tcW w:w="1418" w:type="dxa"/>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color w:val="000000" w:themeColor="text1"/>
                <w:sz w:val="21"/>
              </w:rPr>
              <w:t>可编程流量控制</w:t>
            </w:r>
          </w:p>
        </w:tc>
        <w:tc>
          <w:tcPr>
            <w:tcW w:w="6316" w:type="dxa"/>
            <w:gridSpan w:val="5"/>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color w:val="000000" w:themeColor="text1"/>
                <w:sz w:val="21"/>
                <w:szCs w:val="21"/>
              </w:rPr>
              <w:t>▲通过某种编程语言（如lua）实现自定义的流量编排，对IP、TCP、UDP、SSL、HTTP和HTTPS等类型的流量进行分发、修改和统计等操作。（提供设备操作界面截图证明材料)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top"/>
          </w:tcPr>
          <w:p>
            <w:pPr>
              <w:snapToGrid w:val="0"/>
              <w:spacing w:line="276" w:lineRule="auto"/>
              <w:outlineLvl w:val="0"/>
              <w:rPr>
                <w:rFonts w:hint="eastAsia" w:ascii="微软雅黑" w:hAnsi="微软雅黑" w:eastAsia="微软雅黑" w:cs="Arial"/>
                <w:b/>
                <w:color w:val="000000" w:themeColor="text1"/>
                <w:sz w:val="21"/>
                <w:lang w:val="en-US" w:eastAsia="zh-CN"/>
              </w:rPr>
            </w:pPr>
            <w:r>
              <w:rPr>
                <w:rFonts w:hint="eastAsia" w:ascii="微软雅黑" w:hAnsi="微软雅黑" w:eastAsia="微软雅黑" w:cs="Arial"/>
                <w:b/>
                <w:color w:val="000000" w:themeColor="text1"/>
                <w:sz w:val="21"/>
                <w:lang w:val="en-US" w:eastAsia="zh-CN"/>
              </w:rPr>
              <w:t>6</w:t>
            </w:r>
          </w:p>
          <w:p>
            <w:pPr>
              <w:snapToGrid w:val="0"/>
              <w:spacing w:line="276" w:lineRule="auto"/>
              <w:outlineLvl w:val="0"/>
              <w:rPr>
                <w:rFonts w:ascii="仿宋" w:hAnsi="仿宋" w:eastAsia="仿宋"/>
                <w:sz w:val="28"/>
                <w:szCs w:val="28"/>
              </w:rPr>
            </w:pPr>
          </w:p>
          <w:p>
            <w:pPr>
              <w:snapToGrid w:val="0"/>
              <w:spacing w:line="276" w:lineRule="auto"/>
              <w:outlineLvl w:val="0"/>
              <w:rPr>
                <w:rFonts w:ascii="仿宋" w:hAnsi="仿宋" w:eastAsia="仿宋"/>
                <w:sz w:val="28"/>
                <w:szCs w:val="28"/>
              </w:rPr>
            </w:pPr>
          </w:p>
          <w:p>
            <w:pPr>
              <w:snapToGrid w:val="0"/>
              <w:spacing w:line="276" w:lineRule="auto"/>
              <w:outlineLvl w:val="0"/>
              <w:rPr>
                <w:rFonts w:ascii="仿宋" w:hAnsi="仿宋" w:eastAsia="仿宋"/>
                <w:sz w:val="28"/>
                <w:szCs w:val="28"/>
              </w:rPr>
            </w:pPr>
          </w:p>
          <w:p>
            <w:pPr>
              <w:snapToGrid w:val="0"/>
              <w:spacing w:line="276" w:lineRule="auto"/>
              <w:outlineLvl w:val="0"/>
              <w:rPr>
                <w:rFonts w:ascii="仿宋" w:hAnsi="仿宋" w:eastAsia="仿宋"/>
                <w:sz w:val="28"/>
                <w:szCs w:val="28"/>
              </w:rPr>
            </w:pPr>
          </w:p>
        </w:tc>
        <w:tc>
          <w:tcPr>
            <w:tcW w:w="1418" w:type="dxa"/>
            <w:vMerge w:val="restart"/>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color w:val="000000" w:themeColor="text1"/>
                <w:sz w:val="21"/>
              </w:rPr>
              <w:t>链路负载均衡</w:t>
            </w:r>
          </w:p>
        </w:tc>
        <w:tc>
          <w:tcPr>
            <w:tcW w:w="6316" w:type="dxa"/>
            <w:gridSpan w:val="5"/>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color w:val="000000" w:themeColor="text1"/>
                <w:sz w:val="21"/>
                <w:szCs w:val="21"/>
              </w:rPr>
              <w:t>支持静态IP和PPPOE两种线路接入方式。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color w:val="000000" w:themeColor="text1"/>
                <w:sz w:val="21"/>
                <w:szCs w:val="21"/>
              </w:rPr>
              <w:t>支持基于五元组条件（源IP地址，源端口，目的IP地址，目的端口，传输层协议号）来进行出站访问的流量调度分发。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color w:val="000000" w:themeColor="text1"/>
                <w:sz w:val="21"/>
                <w:szCs w:val="21"/>
              </w:rPr>
              <w:t>支持基于管理员自定义的时间计划来进行出站访问的流量调度分发。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kern w:val="2"/>
                <w:sz w:val="21"/>
                <w:szCs w:val="21"/>
                <w:lang w:val="en-US" w:eastAsia="zh-CN" w:bidi="ar-SA"/>
              </w:rPr>
            </w:pPr>
            <w:r>
              <w:rPr>
                <w:rFonts w:hint="eastAsia" w:ascii="微软雅黑" w:hAnsi="微软雅黑" w:eastAsia="微软雅黑" w:cs="Arial"/>
                <w:b/>
                <w:color w:val="000000" w:themeColor="text1"/>
                <w:sz w:val="21"/>
                <w:szCs w:val="21"/>
              </w:rPr>
              <w:t>★</w:t>
            </w:r>
            <w:r>
              <w:rPr>
                <w:rFonts w:hint="eastAsia" w:ascii="微软雅黑" w:hAnsi="微软雅黑" w:eastAsia="微软雅黑" w:cs="Arial"/>
                <w:color w:val="000000" w:themeColor="text1"/>
                <w:sz w:val="21"/>
                <w:szCs w:val="21"/>
              </w:rPr>
              <w:t>内置完备的IP地址库，无需手动导入并支持自动全网更新，可查看并编辑各国家、国内各省份的IP地址段和国内各大运营商IP地址段，并可灵活匹配IP地址库进行流量调度分发，实现链路负载功能（提供设备操作界面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kern w:val="2"/>
                <w:sz w:val="21"/>
                <w:szCs w:val="21"/>
                <w:lang w:val="en-US" w:eastAsia="zh-CN" w:bidi="ar-SA"/>
              </w:rPr>
            </w:pPr>
            <w:r>
              <w:rPr>
                <w:rFonts w:hint="eastAsia" w:ascii="微软雅黑" w:hAnsi="微软雅黑" w:eastAsia="微软雅黑" w:cs="Arial"/>
                <w:b/>
                <w:color w:val="000000" w:themeColor="text1"/>
                <w:sz w:val="21"/>
                <w:szCs w:val="21"/>
              </w:rPr>
              <w:t>★</w:t>
            </w:r>
            <w:r>
              <w:rPr>
                <w:rFonts w:hint="eastAsia" w:ascii="微软雅黑" w:hAnsi="微软雅黑" w:eastAsia="微软雅黑" w:cs="Arial"/>
                <w:color w:val="000000" w:themeColor="text1"/>
                <w:sz w:val="21"/>
                <w:szCs w:val="21"/>
              </w:rPr>
              <w:t>支持基于URL的链路调度功能，内置不少于1000条的国外URL网址库，无需手动导入并支持自动更新，管理员可查看并进行编辑。可根据URL将访问国外网站的请求调度到指定线路。（提供设备操作界面截图证明材料）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b/>
                <w:color w:val="000000" w:themeColor="text1"/>
                <w:kern w:val="2"/>
                <w:sz w:val="21"/>
                <w:szCs w:val="21"/>
                <w:lang w:val="en-US" w:eastAsia="zh-CN" w:bidi="ar-SA"/>
              </w:rPr>
            </w:pPr>
            <w:r>
              <w:rPr>
                <w:rFonts w:hint="eastAsia" w:ascii="微软雅黑" w:hAnsi="微软雅黑" w:eastAsia="微软雅黑" w:cs="Arial"/>
                <w:b/>
                <w:color w:val="000000" w:themeColor="text1"/>
                <w:sz w:val="21"/>
                <w:szCs w:val="21"/>
              </w:rPr>
              <w:t>★</w:t>
            </w:r>
            <w:r>
              <w:rPr>
                <w:rFonts w:hint="eastAsia" w:ascii="微软雅黑" w:hAnsi="微软雅黑" w:eastAsia="微软雅黑" w:cs="Arial"/>
                <w:color w:val="000000" w:themeColor="text1"/>
                <w:sz w:val="21"/>
                <w:szCs w:val="21"/>
              </w:rPr>
              <w:t>支持基于应用协议的智能选路，能对</w:t>
            </w:r>
            <w:r>
              <w:rPr>
                <w:rFonts w:ascii="微软雅黑" w:hAnsi="微软雅黑" w:eastAsia="微软雅黑" w:cs="Arial"/>
                <w:color w:val="000000" w:themeColor="text1"/>
                <w:sz w:val="21"/>
                <w:szCs w:val="21"/>
              </w:rPr>
              <w:t>网银</w:t>
            </w:r>
            <w:r>
              <w:rPr>
                <w:rFonts w:hint="eastAsia" w:ascii="微软雅黑" w:hAnsi="微软雅黑" w:eastAsia="微软雅黑" w:cs="Arial"/>
                <w:color w:val="000000" w:themeColor="text1"/>
                <w:sz w:val="21"/>
                <w:szCs w:val="21"/>
              </w:rPr>
              <w:t>、</w:t>
            </w:r>
            <w:r>
              <w:rPr>
                <w:rFonts w:ascii="微软雅黑" w:hAnsi="微软雅黑" w:eastAsia="微软雅黑" w:cs="Arial"/>
                <w:color w:val="000000" w:themeColor="text1"/>
                <w:sz w:val="21"/>
                <w:szCs w:val="21"/>
              </w:rPr>
              <w:t>游戏、视频等流量进行调度（需提供设备功能界面截图证明）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b/>
                <w:color w:val="000000" w:themeColor="text1"/>
                <w:kern w:val="2"/>
                <w:sz w:val="21"/>
                <w:szCs w:val="21"/>
                <w:lang w:val="en-US" w:eastAsia="zh-CN" w:bidi="ar-SA"/>
              </w:rPr>
            </w:pPr>
            <w:r>
              <w:rPr>
                <w:rFonts w:hint="eastAsia" w:ascii="微软雅黑" w:hAnsi="微软雅黑" w:eastAsia="微软雅黑" w:cs="Arial"/>
                <w:b/>
                <w:color w:val="000000" w:themeColor="text1"/>
                <w:sz w:val="21"/>
                <w:szCs w:val="21"/>
              </w:rPr>
              <w:t>★</w:t>
            </w:r>
            <w:r>
              <w:rPr>
                <w:rFonts w:hint="eastAsia" w:ascii="微软雅黑" w:hAnsi="微软雅黑" w:eastAsia="微软雅黑" w:cs="Arial"/>
                <w:color w:val="000000" w:themeColor="text1"/>
                <w:sz w:val="21"/>
                <w:szCs w:val="21"/>
              </w:rPr>
              <w:t>支持基于域名的流量调度，针对特定网站选择指定的链路转发。（提供设备操作界面截图证明材料）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b/>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支持DNS透明代理功能，可基于负载均衡算法代理内网用户进行DNS请求转发，避免单运营商DNS解析出现单一链路流量过载，平衡多条运营商线路的带宽利用率。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ascii="微软雅黑" w:hAnsi="微软雅黑" w:eastAsia="微软雅黑" w:cs="Arial"/>
                <w:color w:val="000000" w:themeColor="text1"/>
                <w:sz w:val="21"/>
                <w:szCs w:val="21"/>
              </w:rPr>
            </w:pPr>
            <w:r>
              <w:rPr>
                <w:rFonts w:hint="eastAsia" w:ascii="微软雅黑" w:hAnsi="微软雅黑" w:eastAsia="微软雅黑" w:cs="Arial"/>
                <w:color w:val="000000" w:themeColor="text1"/>
                <w:sz w:val="21"/>
                <w:szCs w:val="21"/>
              </w:rPr>
              <w:t>支持DNS内网记录，包含A、AAAA、CNAME、MX和TXT等类型，可识别内网用户并对其DNS请求直接返回相应结果；</w:t>
            </w:r>
          </w:p>
          <w:p>
            <w:pPr>
              <w:snapToGrid w:val="0"/>
              <w:spacing w:line="276" w:lineRule="auto"/>
              <w:outlineLvl w:val="0"/>
              <w:rPr>
                <w:rFonts w:hint="eastAsia" w:ascii="微软雅黑" w:hAnsi="微软雅黑" w:eastAsia="微软雅黑" w:cs="Arial"/>
                <w:b/>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支持智能DNS解析功能，实现外网用户访问内网业务系统的最优路径选择。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链路健康检查与服务器健康检查联动，入站负载跟服务器负载结合的时候，如果后端服务器全挂，则入站负载时也认为该虚拟</w:t>
            </w:r>
            <w:r>
              <w:rPr>
                <w:rFonts w:ascii="微软雅黑" w:hAnsi="微软雅黑" w:eastAsia="微软雅黑" w:cs="Arial"/>
                <w:color w:val="000000" w:themeColor="text1"/>
                <w:sz w:val="21"/>
                <w:szCs w:val="21"/>
              </w:rPr>
              <w:t>IP（此时要求入站负载的虚拟IP与虚拟服务发布的IP组相同）也离线，从而达到联动效果</w:t>
            </w:r>
            <w:r>
              <w:rPr>
                <w:rFonts w:hint="eastAsia" w:ascii="微软雅黑" w:hAnsi="微软雅黑" w:eastAsia="微软雅黑" w:cs="Arial"/>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支持基于链路负荷情况的繁忙保护机制，能根据链路的上行/下行带宽占用率情况执行对出站/入站流量的高级调度策略。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kern w:val="2"/>
                <w:sz w:val="21"/>
                <w:szCs w:val="21"/>
                <w:lang w:val="en-US" w:eastAsia="zh-CN" w:bidi="ar-SA"/>
              </w:rPr>
            </w:pPr>
            <w:r>
              <w:rPr>
                <w:rFonts w:ascii="微软雅黑" w:hAnsi="微软雅黑" w:eastAsia="微软雅黑" w:cs="Arial"/>
                <w:color w:val="000000" w:themeColor="text1"/>
                <w:sz w:val="21"/>
                <w:szCs w:val="21"/>
              </w:rPr>
              <w:t>▲SLB能够通过健康检查来获取后端服务器状态，同时将服务可用性、设备CPU、新建并发吞吐等数据上报GSLB，设备之间的联动使得GSLB能根据链路和服务器两者的综合状态实现智能切换，为用户选择最优的数据中心和服务器分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kern w:val="2"/>
                <w:sz w:val="21"/>
                <w:szCs w:val="21"/>
                <w:lang w:val="en-US" w:eastAsia="zh-CN" w:bidi="ar-SA"/>
              </w:rPr>
            </w:pPr>
            <w:r>
              <w:rPr>
                <w:rFonts w:ascii="微软雅黑" w:hAnsi="微软雅黑" w:eastAsia="微软雅黑" w:cs="Arial"/>
                <w:color w:val="000000" w:themeColor="text1"/>
                <w:sz w:val="21"/>
                <w:szCs w:val="21"/>
              </w:rPr>
              <w:t>▲支持跨数据中心集群和跨数据中心会话保持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支持多种链路检测方法，能够通过PING、TCP、HTTP等方式监控链路的连通性，当某一条链路故障时，可将访问流量切换到其它链路，保障用户业务的持久通畅。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kern w:val="2"/>
                <w:sz w:val="21"/>
                <w:szCs w:val="21"/>
                <w:lang w:val="en-US" w:eastAsia="zh-CN" w:bidi="ar-SA"/>
              </w:rPr>
            </w:pPr>
            <w:r>
              <w:rPr>
                <w:rFonts w:hint="eastAsia" w:ascii="微软雅黑" w:hAnsi="微软雅黑" w:eastAsia="微软雅黑" w:cs="Arial"/>
                <w:b/>
                <w:color w:val="000000" w:themeColor="text1"/>
                <w:sz w:val="21"/>
                <w:szCs w:val="21"/>
              </w:rPr>
              <w:t>★</w:t>
            </w:r>
            <w:r>
              <w:rPr>
                <w:rFonts w:hint="eastAsia" w:ascii="微软雅黑" w:hAnsi="微软雅黑" w:eastAsia="微软雅黑" w:cs="Arial"/>
                <w:color w:val="000000" w:themeColor="text1"/>
                <w:sz w:val="21"/>
                <w:szCs w:val="21"/>
              </w:rPr>
              <w:t>支持链路负载投屏展示，能够分别基于链路监测、应用选路和ISP流量进行投屏展示分析。链路监测展示链路的健康状态、上下行带宽、总带宽、新建连接数、并发连接数和吞吐量；应用选路展示基于应用分类选择相应链路的示意图；ISP展示基于运营商分类选择链路的示意图。（提供设备操作界面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color w:val="000000" w:themeColor="text1"/>
                <w:sz w:val="21"/>
                <w:szCs w:val="21"/>
                <w:lang w:val="en-US" w:eastAsia="zh-CN"/>
              </w:rPr>
              <w:t>7</w:t>
            </w:r>
          </w:p>
        </w:tc>
        <w:tc>
          <w:tcPr>
            <w:tcW w:w="1418" w:type="dxa"/>
            <w:vMerge w:val="restart"/>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color w:val="000000" w:themeColor="text1"/>
                <w:sz w:val="21"/>
                <w:szCs w:val="21"/>
              </w:rPr>
              <w:t>服务器负载均衡</w:t>
            </w:r>
          </w:p>
        </w:tc>
        <w:tc>
          <w:tcPr>
            <w:tcW w:w="6316" w:type="dxa"/>
            <w:gridSpan w:val="5"/>
            <w:vAlign w:val="top"/>
          </w:tcPr>
          <w:p>
            <w:pPr>
              <w:snapToGrid w:val="0"/>
              <w:spacing w:line="276" w:lineRule="auto"/>
              <w:outlineLvl w:val="0"/>
              <w:rPr>
                <w:rFonts w:hint="eastAsia" w:ascii="微软雅黑" w:hAnsi="微软雅黑" w:eastAsia="微软雅黑" w:cs="Arial"/>
                <w:b/>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支持源IP、Cookie（插入/被动/改写）、HTTP-Header、SSL Session ID等多种会话保持机制，支持跨虚拟服务的会话保持。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支持防秒杀功能，即能够以JSESSIONID为标识限制用户访问速度，且不影响该用户访问非防护页面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支持大数据输出功能，输出必须包括客户端IP、x-forwarded-For</w:t>
            </w:r>
            <w:r>
              <w:rPr>
                <w:rFonts w:ascii="微软雅黑" w:hAnsi="微软雅黑" w:eastAsia="微软雅黑" w:cs="Arial"/>
                <w:color w:val="000000" w:themeColor="text1"/>
                <w:sz w:val="21"/>
                <w:szCs w:val="21"/>
              </w:rPr>
              <w:t xml:space="preserve"> </w:t>
            </w:r>
            <w:r>
              <w:rPr>
                <w:rFonts w:hint="eastAsia" w:ascii="微软雅黑" w:hAnsi="微软雅黑" w:eastAsia="微软雅黑" w:cs="Arial"/>
                <w:color w:val="000000" w:themeColor="text1"/>
                <w:sz w:val="21"/>
                <w:szCs w:val="21"/>
              </w:rPr>
              <w:t>IP、访问时间、访问IP、访问URL、响应时间和资源大小。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b/>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支持配置每台的服务器最大连接限制和新建连接限制，以及单个特定用户或者一个用户组中所有用户访问指定应用服务的并发连接总数限制，避免应用系统的服务器过载。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支持命令行配置，支持Tab键补全操作，支持界面全部模块通过命令行的模式配置，支持命令批量操作，支持配置导入导出命令行操作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b/>
                <w:color w:val="000000" w:themeColor="text1"/>
                <w:kern w:val="2"/>
                <w:sz w:val="21"/>
                <w:szCs w:val="21"/>
                <w:lang w:val="en-US" w:eastAsia="zh-CN" w:bidi="ar-SA"/>
              </w:rPr>
            </w:pPr>
            <w:r>
              <w:rPr>
                <w:rFonts w:hint="eastAsia" w:ascii="微软雅黑" w:hAnsi="微软雅黑" w:eastAsia="微软雅黑" w:cs="Arial"/>
                <w:b/>
                <w:color w:val="000000" w:themeColor="text1"/>
                <w:sz w:val="21"/>
                <w:szCs w:val="21"/>
              </w:rPr>
              <w:t>★</w:t>
            </w:r>
            <w:r>
              <w:rPr>
                <w:rFonts w:hint="eastAsia" w:ascii="微软雅黑" w:hAnsi="微软雅黑" w:eastAsia="微软雅黑" w:cs="Arial"/>
                <w:color w:val="000000" w:themeColor="text1"/>
                <w:sz w:val="21"/>
                <w:szCs w:val="21"/>
              </w:rPr>
              <w:t>服务器负载状态支持投屏展示，能够显示设备的电源状态、风扇转速、磁盘温度、CPU温度、CPU和内存占用率</w:t>
            </w:r>
            <w:r>
              <w:rPr>
                <w:rFonts w:hint="eastAsia"/>
                <w:color w:val="000000" w:themeColor="text1"/>
              </w:rPr>
              <w:t>、</w:t>
            </w:r>
            <w:r>
              <w:rPr>
                <w:rFonts w:hint="eastAsia" w:ascii="微软雅黑" w:hAnsi="微软雅黑" w:eastAsia="微软雅黑" w:cs="Arial"/>
                <w:color w:val="000000" w:themeColor="text1"/>
                <w:sz w:val="21"/>
                <w:szCs w:val="21"/>
              </w:rPr>
              <w:t>新建连接数、并发连接数、吞吐情况、SSL新建和SSL吞吐数据、压缩优化和缓存优化数据；业务的健康状态、新建连接数、并发连接数、上下行流量、每秒请求数；节点池的调度算法、健康状态、新建连接数、并发连接数、上下行流量；（提供设备操作界面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top"/>
          </w:tcPr>
          <w:p>
            <w:pPr>
              <w:snapToGrid w:val="0"/>
              <w:spacing w:line="276" w:lineRule="auto"/>
              <w:outlineLvl w:val="0"/>
              <w:rPr>
                <w:rFonts w:ascii="仿宋" w:hAnsi="仿宋" w:eastAsia="仿宋"/>
                <w:sz w:val="28"/>
                <w:szCs w:val="28"/>
              </w:rPr>
            </w:pPr>
            <w:r>
              <w:rPr>
                <w:rFonts w:ascii="微软雅黑" w:hAnsi="微软雅黑" w:eastAsia="微软雅黑" w:cs="Arial"/>
                <w:b/>
                <w:color w:val="000000" w:themeColor="text1"/>
                <w:sz w:val="21"/>
              </w:rPr>
              <w:t>8</w:t>
            </w:r>
          </w:p>
        </w:tc>
        <w:tc>
          <w:tcPr>
            <w:tcW w:w="1418" w:type="dxa"/>
            <w:vMerge w:val="restart"/>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color w:val="000000" w:themeColor="text1"/>
                <w:sz w:val="21"/>
                <w:szCs w:val="21"/>
              </w:rPr>
              <w:t>IPv</w:t>
            </w:r>
            <w:r>
              <w:rPr>
                <w:rFonts w:ascii="微软雅黑" w:hAnsi="微软雅黑" w:eastAsia="微软雅黑" w:cs="Arial"/>
                <w:b/>
                <w:color w:val="000000" w:themeColor="text1"/>
                <w:sz w:val="21"/>
                <w:szCs w:val="21"/>
              </w:rPr>
              <w:t>6改造</w:t>
            </w: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IPv6支持双栈模式，支持NAT46、NAT64、NAT66</w:t>
            </w:r>
            <w:r>
              <w:rPr>
                <w:rFonts w:hint="eastAsia" w:ascii="Arial Unicode MS" w:hAnsi="Arial Unicode MS" w:eastAsia="Arial Unicode MS" w:cs="Arial Unicode MS"/>
                <w:color w:val="000000" w:themeColor="text1"/>
                <w:sz w:val="20"/>
                <w:szCs w:val="20"/>
              </w:rPr>
              <w:t>、</w:t>
            </w:r>
            <w:r>
              <w:rPr>
                <w:rFonts w:ascii="微软雅黑" w:hAnsi="微软雅黑" w:eastAsia="微软雅黑" w:cs="Arial"/>
                <w:color w:val="000000" w:themeColor="text1"/>
                <w:sz w:val="21"/>
                <w:szCs w:val="21"/>
              </w:rPr>
              <w:t>FTP</w:t>
            </w:r>
            <w:r>
              <w:rPr>
                <w:rFonts w:hint="eastAsia" w:ascii="微软雅黑" w:hAnsi="微软雅黑" w:eastAsia="微软雅黑" w:cs="Arial"/>
                <w:color w:val="000000" w:themeColor="text1"/>
                <w:sz w:val="21"/>
                <w:szCs w:val="21"/>
              </w:rPr>
              <w:t xml:space="preserve"> ALG、DNS64等协议转换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IPv6改造方案能够解决天窗问题，支持一条策略匹配多个外链网站，同时外链和网站子链发生修改时支持自动识别并做主动修改，不允许通过人工解析配置的方式解决天窗问题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kern w:val="2"/>
                <w:sz w:val="21"/>
                <w:szCs w:val="21"/>
                <w:lang w:val="en-US" w:eastAsia="zh-CN" w:bidi="ar-SA"/>
              </w:rPr>
            </w:pPr>
            <w:r>
              <w:rPr>
                <w:rFonts w:ascii="微软雅黑" w:hAnsi="微软雅黑" w:eastAsia="微软雅黑" w:cs="Arial"/>
                <w:color w:val="000000" w:themeColor="text1"/>
                <w:sz w:val="21"/>
                <w:szCs w:val="21"/>
              </w:rPr>
              <w:t>▲</w:t>
            </w:r>
            <w:r>
              <w:rPr>
                <w:rFonts w:ascii="微软雅黑" w:hAnsi="微软雅黑" w:eastAsia="微软雅黑" w:cs="Arial"/>
                <w:color w:val="000000"/>
                <w:sz w:val="21"/>
                <w:szCs w:val="21"/>
              </w:rPr>
              <w:t>提供IPv6产品检测报告，报告要求有信通院或其下属权威第三方</w:t>
            </w:r>
            <w:r>
              <w:rPr>
                <w:rFonts w:hint="eastAsia" w:ascii="微软雅黑" w:hAnsi="微软雅黑" w:eastAsia="微软雅黑" w:cs="Arial"/>
                <w:color w:val="000000"/>
                <w:sz w:val="21"/>
                <w:szCs w:val="21"/>
              </w:rPr>
              <w:t>如泰尔实验室</w:t>
            </w:r>
            <w:r>
              <w:rPr>
                <w:rFonts w:ascii="微软雅黑" w:hAnsi="微软雅黑" w:eastAsia="微软雅黑" w:cs="Arial"/>
                <w:color w:val="000000"/>
                <w:sz w:val="21"/>
                <w:szCs w:val="21"/>
              </w:rPr>
              <w:t>检测机构提供的盖章证明；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支持HTTP缓存功能，利用内存Cache缓存用户频繁访问的web内容，降低后台服务器的负载压力,提升用户访问的响应速度。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b/>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支持HTTP压缩功能，采用工业标准的GZIP或Deflate算法来压缩HTTP数据，从而减少传输数据量并降低带宽消耗，缩短客户端访问的下载等待时间。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b/>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支持TCP连接复用功能，利用HTTP连接池机制，将来自客户端的多个请求合并成一个连接发送到服务器，减少服务器端的工作负荷，并提升业务效率。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top"/>
          </w:tcPr>
          <w:p>
            <w:pPr>
              <w:snapToGrid w:val="0"/>
              <w:spacing w:line="276" w:lineRule="auto"/>
              <w:outlineLvl w:val="0"/>
              <w:rPr>
                <w:rFonts w:hint="eastAsia" w:ascii="仿宋" w:hAnsi="仿宋" w:eastAsia="仿宋"/>
                <w:sz w:val="28"/>
                <w:szCs w:val="28"/>
                <w:lang w:val="en-US" w:eastAsia="zh-CN"/>
              </w:rPr>
            </w:pPr>
            <w:r>
              <w:rPr>
                <w:rFonts w:hint="eastAsia" w:ascii="仿宋" w:hAnsi="仿宋" w:eastAsia="仿宋"/>
                <w:sz w:val="28"/>
                <w:szCs w:val="28"/>
                <w:lang w:val="en-US" w:eastAsia="zh-CN"/>
              </w:rPr>
              <w:t>9</w:t>
            </w:r>
          </w:p>
        </w:tc>
        <w:tc>
          <w:tcPr>
            <w:tcW w:w="1418" w:type="dxa"/>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color w:val="000000" w:themeColor="text1"/>
                <w:sz w:val="21"/>
                <w:szCs w:val="21"/>
              </w:rPr>
              <w:t>高可用性</w:t>
            </w:r>
          </w:p>
        </w:tc>
        <w:tc>
          <w:tcPr>
            <w:tcW w:w="6316" w:type="dxa"/>
            <w:gridSpan w:val="5"/>
            <w:vAlign w:val="top"/>
          </w:tcPr>
          <w:p>
            <w:pPr>
              <w:snapToGrid w:val="0"/>
              <w:spacing w:line="276" w:lineRule="auto"/>
              <w:outlineLvl w:val="0"/>
              <w:rPr>
                <w:rFonts w:ascii="微软雅黑" w:hAnsi="微软雅黑" w:eastAsia="微软雅黑" w:cs="Arial"/>
                <w:color w:val="000000" w:themeColor="text1"/>
                <w:sz w:val="21"/>
                <w:szCs w:val="21"/>
              </w:rPr>
            </w:pPr>
            <w:r>
              <w:rPr>
                <w:rFonts w:hint="eastAsia" w:ascii="微软雅黑" w:hAnsi="微软雅黑" w:eastAsia="微软雅黑" w:cs="Arial"/>
                <w:color w:val="000000" w:themeColor="text1"/>
                <w:sz w:val="21"/>
                <w:szCs w:val="21"/>
              </w:rPr>
              <w:t>支持双机热备部署方式，可自动同步配置并提供连接会话的镜像功能，实现无缝故障切换；</w:t>
            </w:r>
          </w:p>
          <w:p>
            <w:pPr>
              <w:snapToGrid w:val="0"/>
              <w:spacing w:line="276" w:lineRule="auto"/>
              <w:outlineLvl w:val="0"/>
              <w:rPr>
                <w:rFonts w:ascii="微软雅黑" w:hAnsi="微软雅黑" w:eastAsia="微软雅黑" w:cs="Arial"/>
                <w:color w:val="000000" w:themeColor="text1"/>
                <w:sz w:val="21"/>
                <w:szCs w:val="21"/>
              </w:rPr>
            </w:pPr>
            <w:r>
              <w:rPr>
                <w:rFonts w:hint="eastAsia" w:ascii="微软雅黑" w:hAnsi="微软雅黑" w:eastAsia="微软雅黑" w:cs="Arial"/>
                <w:color w:val="000000" w:themeColor="text1"/>
                <w:sz w:val="21"/>
                <w:szCs w:val="21"/>
              </w:rPr>
              <w:t>支持基于链路流量进行有效性判断，能够在预设时间内进行主动探测。</w:t>
            </w:r>
          </w:p>
          <w:p>
            <w:pPr>
              <w:snapToGrid w:val="0"/>
              <w:spacing w:line="276" w:lineRule="auto"/>
              <w:outlineLvl w:val="0"/>
              <w:rPr>
                <w:rFonts w:hint="eastAsia" w:ascii="微软雅黑" w:hAnsi="微软雅黑" w:eastAsia="微软雅黑" w:cs="Arial"/>
                <w:b/>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支持高可用集群N+M部署方式，单集群支持1</w:t>
            </w:r>
            <w:r>
              <w:rPr>
                <w:rFonts w:ascii="微软雅黑" w:hAnsi="微软雅黑" w:eastAsia="微软雅黑" w:cs="Arial"/>
                <w:color w:val="000000" w:themeColor="text1"/>
                <w:sz w:val="21"/>
                <w:szCs w:val="21"/>
              </w:rPr>
              <w:t>6</w:t>
            </w:r>
            <w:r>
              <w:rPr>
                <w:rFonts w:hint="eastAsia" w:ascii="微软雅黑" w:hAnsi="微软雅黑" w:eastAsia="微软雅黑" w:cs="Arial"/>
                <w:color w:val="000000" w:themeColor="text1"/>
                <w:sz w:val="21"/>
                <w:szCs w:val="21"/>
              </w:rPr>
              <w:t>台设备，可自动同步配置并提供连接会话的镜像功能，实现无缝故障切换；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top"/>
          </w:tcPr>
          <w:p>
            <w:pPr>
              <w:snapToGrid w:val="0"/>
              <w:spacing w:line="276" w:lineRule="auto"/>
              <w:outlineLvl w:val="0"/>
              <w:rPr>
                <w:rFonts w:hint="default" w:ascii="仿宋" w:hAnsi="仿宋" w:eastAsia="仿宋"/>
                <w:sz w:val="28"/>
                <w:szCs w:val="28"/>
                <w:lang w:val="en-US" w:eastAsia="zh-CN"/>
              </w:rPr>
            </w:pPr>
            <w:r>
              <w:rPr>
                <w:rFonts w:hint="eastAsia" w:ascii="仿宋" w:hAnsi="仿宋" w:eastAsia="仿宋"/>
                <w:sz w:val="28"/>
                <w:szCs w:val="28"/>
                <w:lang w:val="en-US" w:eastAsia="zh-CN"/>
              </w:rPr>
              <w:t>10</w:t>
            </w:r>
          </w:p>
        </w:tc>
        <w:tc>
          <w:tcPr>
            <w:tcW w:w="1418" w:type="dxa"/>
            <w:vMerge w:val="restart"/>
            <w:vAlign w:val="top"/>
          </w:tcPr>
          <w:p>
            <w:pPr>
              <w:snapToGrid w:val="0"/>
              <w:spacing w:line="276" w:lineRule="auto"/>
              <w:outlineLvl w:val="0"/>
              <w:rPr>
                <w:rFonts w:ascii="仿宋" w:hAnsi="仿宋" w:eastAsia="仿宋"/>
                <w:sz w:val="28"/>
                <w:szCs w:val="28"/>
              </w:rPr>
            </w:pPr>
            <w:r>
              <w:rPr>
                <w:rFonts w:hint="eastAsia" w:ascii="微软雅黑" w:hAnsi="微软雅黑" w:eastAsia="微软雅黑" w:cs="Arial"/>
                <w:b/>
                <w:color w:val="000000" w:themeColor="text1"/>
                <w:sz w:val="21"/>
                <w:szCs w:val="21"/>
              </w:rPr>
              <w:t>运维管理</w:t>
            </w:r>
          </w:p>
        </w:tc>
        <w:tc>
          <w:tcPr>
            <w:tcW w:w="6316" w:type="dxa"/>
            <w:gridSpan w:val="5"/>
            <w:vAlign w:val="top"/>
          </w:tcPr>
          <w:p>
            <w:pPr>
              <w:snapToGrid w:val="0"/>
              <w:spacing w:line="276" w:lineRule="auto"/>
              <w:outlineLvl w:val="0"/>
              <w:rPr>
                <w:rFonts w:hint="eastAsia" w:ascii="微软雅黑" w:hAnsi="微软雅黑" w:eastAsia="微软雅黑" w:cs="Arial"/>
                <w:b/>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支持全中文管理界面和HTTPS方式登录、用户角色管理、多级授权管理。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支持设置管理地址白名单列表，远程维护支持设置是否允许</w:t>
            </w:r>
            <w:r>
              <w:rPr>
                <w:rFonts w:ascii="微软雅黑" w:hAnsi="微软雅黑" w:eastAsia="微软雅黑" w:cs="Arial"/>
                <w:color w:val="000000" w:themeColor="text1"/>
                <w:sz w:val="21"/>
                <w:szCs w:val="21"/>
              </w:rPr>
              <w:t>WAN/LAN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b/>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支持SNMP v1/v2c/v3，标准MIB库和自定义库，可接受第三方网管平台如zabbix的管理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top"/>
          </w:tcPr>
          <w:p>
            <w:pPr>
              <w:autoSpaceDE w:val="0"/>
              <w:autoSpaceDN w:val="0"/>
              <w:adjustRightInd w:val="0"/>
              <w:rPr>
                <w:rFonts w:hint="eastAsia" w:ascii="微软雅黑" w:hAnsi="微软雅黑" w:eastAsia="微软雅黑" w:cs="Arial"/>
                <w:color w:val="000000" w:themeColor="text1"/>
                <w:kern w:val="2"/>
                <w:sz w:val="21"/>
                <w:szCs w:val="21"/>
                <w:lang w:val="en-US" w:eastAsia="zh-CN" w:bidi="ar-SA"/>
              </w:rPr>
            </w:pPr>
            <w:r>
              <w:rPr>
                <w:rFonts w:hint="eastAsia" w:ascii="微软雅黑" w:hAnsi="微软雅黑" w:eastAsia="微软雅黑" w:cs="Arial"/>
                <w:color w:val="000000" w:themeColor="text1"/>
                <w:sz w:val="21"/>
                <w:szCs w:val="21"/>
              </w:rPr>
              <w:t>IPv6支持双栈模式，支持NAT46、NAT64、NAT66等协议转换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top"/>
          </w:tcPr>
          <w:p>
            <w:pPr>
              <w:snapToGrid w:val="0"/>
              <w:spacing w:line="276" w:lineRule="auto"/>
              <w:outlineLvl w:val="0"/>
              <w:rPr>
                <w:rFonts w:ascii="仿宋" w:hAnsi="仿宋" w:eastAsia="仿宋"/>
                <w:sz w:val="28"/>
                <w:szCs w:val="28"/>
              </w:rPr>
            </w:pPr>
          </w:p>
        </w:tc>
        <w:tc>
          <w:tcPr>
            <w:tcW w:w="1418" w:type="dxa"/>
            <w:vMerge w:val="continue"/>
            <w:vAlign w:val="top"/>
          </w:tcPr>
          <w:p>
            <w:pPr>
              <w:snapToGrid w:val="0"/>
              <w:spacing w:line="276" w:lineRule="auto"/>
              <w:outlineLvl w:val="0"/>
              <w:rPr>
                <w:rFonts w:ascii="仿宋" w:hAnsi="仿宋" w:eastAsia="仿宋"/>
                <w:sz w:val="28"/>
                <w:szCs w:val="28"/>
              </w:rPr>
            </w:pPr>
          </w:p>
        </w:tc>
        <w:tc>
          <w:tcPr>
            <w:tcW w:w="6316" w:type="dxa"/>
            <w:gridSpan w:val="5"/>
            <w:vAlign w:val="center"/>
          </w:tcPr>
          <w:p>
            <w:pPr>
              <w:autoSpaceDE w:val="0"/>
              <w:autoSpaceDN w:val="0"/>
              <w:adjustRightInd w:val="0"/>
              <w:spacing w:line="440" w:lineRule="exact"/>
              <w:rPr>
                <w:rFonts w:hint="eastAsia" w:ascii="微软雅黑" w:hAnsi="微软雅黑" w:eastAsia="微软雅黑" w:cs="Arial"/>
                <w:b/>
                <w:color w:val="000000" w:themeColor="text1"/>
                <w:kern w:val="2"/>
                <w:sz w:val="20"/>
                <w:szCs w:val="20"/>
                <w:lang w:val="en-US" w:eastAsia="zh-CN" w:bidi="ar-SA"/>
              </w:rPr>
            </w:pPr>
            <w:r>
              <w:rPr>
                <w:rFonts w:hint="eastAsia" w:ascii="微软雅黑" w:hAnsi="微软雅黑" w:eastAsia="微软雅黑" w:cs="Arial"/>
                <w:color w:val="000000" w:themeColor="text1"/>
                <w:sz w:val="21"/>
                <w:szCs w:val="21"/>
              </w:rPr>
              <w:t>内置智能告警系统, 支持E-mail、SNMP Trap</w:t>
            </w:r>
            <w:r>
              <w:rPr>
                <w:rFonts w:ascii="微软雅黑" w:hAnsi="微软雅黑" w:eastAsia="微软雅黑" w:cs="Arial"/>
                <w:color w:val="000000" w:themeColor="text1"/>
                <w:sz w:val="21"/>
                <w:szCs w:val="21"/>
              </w:rPr>
              <w:t>两</w:t>
            </w:r>
            <w:r>
              <w:rPr>
                <w:rFonts w:hint="eastAsia" w:ascii="微软雅黑" w:hAnsi="微软雅黑" w:eastAsia="微软雅黑" w:cs="Arial"/>
                <w:color w:val="000000" w:themeColor="text1"/>
                <w:sz w:val="21"/>
                <w:szCs w:val="21"/>
              </w:rPr>
              <w:t>种告警方式，管理员可基于业务安全所关注方面来选择告警触发事件与对应的告警方式，当业务网络环境中发生问题时（如服务器宕机、网络攻击、链路中断等故障场景），即会自动向管理员发送告警信息。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top"/>
          </w:tcPr>
          <w:p>
            <w:pPr>
              <w:snapToGrid w:val="0"/>
              <w:spacing w:line="276" w:lineRule="auto"/>
              <w:outlineLvl w:val="0"/>
              <w:rPr>
                <w:rFonts w:ascii="仿宋" w:hAnsi="仿宋" w:eastAsia="仿宋"/>
                <w:sz w:val="28"/>
                <w:szCs w:val="28"/>
              </w:rPr>
            </w:pPr>
          </w:p>
        </w:tc>
        <w:tc>
          <w:tcPr>
            <w:tcW w:w="1418" w:type="dxa"/>
            <w:vAlign w:val="top"/>
          </w:tcPr>
          <w:p>
            <w:pPr>
              <w:snapToGrid w:val="0"/>
              <w:spacing w:line="276" w:lineRule="auto"/>
              <w:outlineLvl w:val="0"/>
              <w:rPr>
                <w:rFonts w:ascii="仿宋" w:hAnsi="仿宋" w:eastAsia="仿宋"/>
                <w:sz w:val="28"/>
                <w:szCs w:val="28"/>
              </w:rPr>
            </w:pPr>
          </w:p>
        </w:tc>
        <w:tc>
          <w:tcPr>
            <w:tcW w:w="6316" w:type="dxa"/>
            <w:gridSpan w:val="5"/>
            <w:vAlign w:val="top"/>
          </w:tcPr>
          <w:p>
            <w:pPr>
              <w:snapToGrid w:val="0"/>
              <w:spacing w:line="276" w:lineRule="auto"/>
              <w:outlineLvl w:val="0"/>
              <w:rPr>
                <w:rFonts w:hint="eastAsia" w:ascii="微软雅黑" w:hAnsi="微软雅黑" w:eastAsia="微软雅黑" w:cs="Arial"/>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7"/>
          </w:tcPr>
          <w:p>
            <w:pPr>
              <w:rPr>
                <w:rFonts w:ascii="仿宋" w:hAnsi="仿宋" w:eastAsia="仿宋"/>
                <w:b/>
                <w:sz w:val="28"/>
                <w:szCs w:val="28"/>
              </w:rPr>
            </w:pPr>
            <w:r>
              <w:rPr>
                <w:rFonts w:hint="eastAsia" w:ascii="仿宋" w:hAnsi="仿宋" w:eastAsia="仿宋"/>
                <w:b/>
                <w:sz w:val="28"/>
                <w:szCs w:val="28"/>
              </w:rPr>
              <w:t>一般技术指标（选填，不作为评标依据）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rPr>
                <w:rFonts w:ascii="仿宋" w:hAnsi="仿宋" w:eastAsia="仿宋"/>
                <w:sz w:val="28"/>
                <w:szCs w:val="28"/>
              </w:rPr>
            </w:pPr>
            <w:r>
              <w:rPr>
                <w:rFonts w:hint="eastAsia" w:ascii="仿宋" w:hAnsi="仿宋" w:eastAsia="仿宋"/>
                <w:sz w:val="24"/>
                <w:szCs w:val="28"/>
              </w:rPr>
              <w:t>序号</w:t>
            </w:r>
          </w:p>
        </w:tc>
        <w:tc>
          <w:tcPr>
            <w:tcW w:w="1418" w:type="dxa"/>
          </w:tcPr>
          <w:p>
            <w:pPr>
              <w:rPr>
                <w:rFonts w:ascii="仿宋" w:hAnsi="仿宋" w:eastAsia="仿宋"/>
                <w:sz w:val="28"/>
                <w:szCs w:val="28"/>
              </w:rPr>
            </w:pPr>
            <w:r>
              <w:rPr>
                <w:rFonts w:hint="eastAsia" w:ascii="仿宋" w:hAnsi="仿宋" w:eastAsia="仿宋"/>
                <w:sz w:val="28"/>
                <w:szCs w:val="28"/>
              </w:rPr>
              <w:t>指标名称</w:t>
            </w:r>
          </w:p>
        </w:tc>
        <w:tc>
          <w:tcPr>
            <w:tcW w:w="6316" w:type="dxa"/>
            <w:gridSpan w:val="5"/>
          </w:tcPr>
          <w:p>
            <w:pPr>
              <w:spacing w:line="360" w:lineRule="auto"/>
              <w:rPr>
                <w:rFonts w:ascii="仿宋" w:hAnsi="仿宋" w:eastAsia="仿宋"/>
                <w:sz w:val="28"/>
                <w:szCs w:val="28"/>
              </w:rPr>
            </w:pPr>
            <w:r>
              <w:rPr>
                <w:rFonts w:hint="eastAsia" w:ascii="仿宋" w:hAnsi="仿宋" w:eastAsia="仿宋"/>
                <w:sz w:val="28"/>
                <w:szCs w:val="28"/>
              </w:rPr>
              <w:t>参数明细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snapToGrid w:val="0"/>
              <w:spacing w:line="276" w:lineRule="auto"/>
              <w:rPr>
                <w:rFonts w:ascii="仿宋" w:hAnsi="仿宋" w:eastAsia="仿宋"/>
                <w:sz w:val="28"/>
                <w:szCs w:val="28"/>
              </w:rPr>
            </w:pPr>
            <w:r>
              <w:rPr>
                <w:rFonts w:hint="eastAsia" w:ascii="微软雅黑" w:hAnsi="微软雅黑" w:eastAsia="微软雅黑" w:cs="Arial"/>
                <w:color w:val="000000" w:themeColor="text1"/>
                <w:sz w:val="21"/>
                <w:szCs w:val="21"/>
              </w:rPr>
              <w:t>1</w:t>
            </w:r>
          </w:p>
        </w:tc>
        <w:tc>
          <w:tcPr>
            <w:tcW w:w="1418" w:type="dxa"/>
            <w:vMerge w:val="restart"/>
            <w:vAlign w:val="center"/>
          </w:tcPr>
          <w:p>
            <w:pPr>
              <w:snapToGrid w:val="0"/>
              <w:spacing w:line="276" w:lineRule="auto"/>
              <w:rPr>
                <w:rFonts w:ascii="仿宋" w:hAnsi="仿宋" w:eastAsia="仿宋"/>
                <w:sz w:val="28"/>
                <w:szCs w:val="28"/>
              </w:rPr>
            </w:pPr>
            <w:r>
              <w:rPr>
                <w:rFonts w:hint="eastAsia" w:ascii="微软雅黑" w:hAnsi="微软雅黑" w:eastAsia="微软雅黑" w:cs="Arial"/>
                <w:b/>
                <w:color w:val="000000" w:themeColor="text1"/>
                <w:sz w:val="21"/>
                <w:szCs w:val="21"/>
              </w:rPr>
              <w:t>资质要求</w:t>
            </w:r>
          </w:p>
        </w:tc>
        <w:tc>
          <w:tcPr>
            <w:tcW w:w="6316" w:type="dxa"/>
            <w:gridSpan w:val="5"/>
            <w:vAlign w:val="center"/>
          </w:tcPr>
          <w:p>
            <w:pPr>
              <w:snapToGrid w:val="0"/>
              <w:spacing w:before="100" w:beforeAutospacing="1" w:line="276" w:lineRule="auto"/>
              <w:rPr>
                <w:rFonts w:ascii="仿宋" w:hAnsi="仿宋" w:eastAsia="仿宋"/>
                <w:sz w:val="28"/>
                <w:szCs w:val="28"/>
              </w:rPr>
            </w:pPr>
            <w:r>
              <w:rPr>
                <w:rFonts w:hint="eastAsia" w:ascii="微软雅黑" w:hAnsi="微软雅黑" w:eastAsia="微软雅黑" w:cs="Arial"/>
                <w:color w:val="000000" w:themeColor="text1"/>
                <w:sz w:val="21"/>
                <w:szCs w:val="21"/>
              </w:rPr>
              <w:t>★所投产品具备《计算机软件著作权登记证书》(提供复印件)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rPr>
                <w:rFonts w:ascii="仿宋" w:hAnsi="仿宋" w:eastAsia="仿宋"/>
                <w:sz w:val="28"/>
                <w:szCs w:val="28"/>
              </w:rPr>
            </w:pPr>
          </w:p>
        </w:tc>
        <w:tc>
          <w:tcPr>
            <w:tcW w:w="1418" w:type="dxa"/>
            <w:vMerge w:val="continue"/>
            <w:vAlign w:val="center"/>
          </w:tcPr>
          <w:p>
            <w:pPr>
              <w:rPr>
                <w:rFonts w:ascii="仿宋" w:hAnsi="仿宋" w:eastAsia="仿宋"/>
                <w:sz w:val="28"/>
                <w:szCs w:val="28"/>
              </w:rPr>
            </w:pPr>
          </w:p>
        </w:tc>
        <w:tc>
          <w:tcPr>
            <w:tcW w:w="6316" w:type="dxa"/>
            <w:gridSpan w:val="5"/>
            <w:vAlign w:val="center"/>
          </w:tcPr>
          <w:p>
            <w:pPr>
              <w:snapToGrid w:val="0"/>
              <w:spacing w:before="100" w:beforeAutospacing="1" w:line="276" w:lineRule="auto"/>
              <w:rPr>
                <w:rFonts w:ascii="仿宋" w:hAnsi="仿宋" w:eastAsia="仿宋"/>
                <w:sz w:val="28"/>
                <w:szCs w:val="28"/>
              </w:rPr>
            </w:pPr>
            <w:r>
              <w:rPr>
                <w:rFonts w:hint="eastAsia" w:ascii="微软雅黑" w:hAnsi="微软雅黑" w:eastAsia="微软雅黑" w:cs="Arial"/>
                <w:color w:val="000000" w:themeColor="text1"/>
                <w:sz w:val="21"/>
                <w:szCs w:val="21"/>
              </w:rPr>
              <w:t>★所投产品具备《IPv6 Ready Phase-2金色认证证书》(提供复印件)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before="100" w:beforeAutospacing="1" w:line="276" w:lineRule="auto"/>
              <w:rPr>
                <w:rFonts w:ascii="仿宋" w:hAnsi="仿宋" w:eastAsia="仿宋"/>
                <w:sz w:val="28"/>
                <w:szCs w:val="28"/>
              </w:rPr>
            </w:pPr>
          </w:p>
        </w:tc>
        <w:tc>
          <w:tcPr>
            <w:tcW w:w="1418" w:type="dxa"/>
            <w:vMerge w:val="continue"/>
            <w:vAlign w:val="center"/>
          </w:tcPr>
          <w:p>
            <w:pPr>
              <w:snapToGrid w:val="0"/>
              <w:spacing w:before="100" w:beforeAutospacing="1" w:line="276" w:lineRule="auto"/>
              <w:rPr>
                <w:rFonts w:ascii="仿宋" w:hAnsi="仿宋" w:eastAsia="仿宋"/>
                <w:sz w:val="28"/>
                <w:szCs w:val="28"/>
              </w:rPr>
            </w:pPr>
          </w:p>
        </w:tc>
        <w:tc>
          <w:tcPr>
            <w:tcW w:w="6316" w:type="dxa"/>
            <w:gridSpan w:val="5"/>
            <w:vAlign w:val="center"/>
          </w:tcPr>
          <w:p>
            <w:pPr>
              <w:snapToGrid w:val="0"/>
              <w:spacing w:before="100" w:beforeAutospacing="1" w:line="276" w:lineRule="auto"/>
              <w:rPr>
                <w:rFonts w:ascii="仿宋" w:hAnsi="仿宋" w:eastAsia="仿宋"/>
                <w:sz w:val="28"/>
                <w:szCs w:val="28"/>
              </w:rPr>
            </w:pPr>
            <w:r>
              <w:rPr>
                <w:rFonts w:hint="eastAsia" w:ascii="微软雅黑" w:hAnsi="微软雅黑" w:eastAsia="微软雅黑" w:cs="Arial"/>
                <w:color w:val="000000" w:themeColor="text1"/>
                <w:sz w:val="21"/>
                <w:szCs w:val="21"/>
              </w:rPr>
              <w:t>★所投产品生产厂家通过CMMI5认证以保证产品代码质量与稳定性(提供复印件)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before="100" w:beforeAutospacing="1" w:line="276" w:lineRule="auto"/>
              <w:rPr>
                <w:rFonts w:ascii="仿宋" w:hAnsi="仿宋" w:eastAsia="仿宋"/>
                <w:sz w:val="28"/>
                <w:szCs w:val="28"/>
              </w:rPr>
            </w:pPr>
          </w:p>
        </w:tc>
        <w:tc>
          <w:tcPr>
            <w:tcW w:w="1418" w:type="dxa"/>
            <w:vMerge w:val="continue"/>
            <w:vAlign w:val="center"/>
          </w:tcPr>
          <w:p>
            <w:pPr>
              <w:snapToGrid w:val="0"/>
              <w:spacing w:before="100" w:beforeAutospacing="1" w:line="276" w:lineRule="auto"/>
              <w:rPr>
                <w:rFonts w:ascii="仿宋" w:hAnsi="仿宋" w:eastAsia="仿宋"/>
                <w:sz w:val="28"/>
                <w:szCs w:val="28"/>
              </w:rPr>
            </w:pPr>
          </w:p>
        </w:tc>
        <w:tc>
          <w:tcPr>
            <w:tcW w:w="6316" w:type="dxa"/>
            <w:gridSpan w:val="5"/>
            <w:vAlign w:val="center"/>
          </w:tcPr>
          <w:p>
            <w:pPr>
              <w:snapToGrid w:val="0"/>
              <w:spacing w:before="100" w:beforeAutospacing="1" w:line="276" w:lineRule="auto"/>
              <w:rPr>
                <w:rFonts w:ascii="仿宋" w:hAnsi="仿宋" w:eastAsia="仿宋"/>
                <w:sz w:val="28"/>
                <w:szCs w:val="28"/>
              </w:rPr>
            </w:pPr>
            <w:r>
              <w:rPr>
                <w:rFonts w:hint="eastAsia" w:ascii="微软雅黑" w:hAnsi="微软雅黑" w:eastAsia="微软雅黑" w:cs="Arial"/>
                <w:color w:val="000000" w:themeColor="text1"/>
                <w:sz w:val="21"/>
                <w:szCs w:val="21"/>
              </w:rPr>
              <w:t>★所投产品生产厂家通过ISO27001和ISO20000认证 (提供复印件)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before="100" w:beforeAutospacing="1" w:line="276" w:lineRule="auto"/>
              <w:rPr>
                <w:rFonts w:ascii="仿宋" w:hAnsi="仿宋" w:eastAsia="仿宋"/>
                <w:sz w:val="28"/>
                <w:szCs w:val="28"/>
              </w:rPr>
            </w:pPr>
          </w:p>
        </w:tc>
        <w:tc>
          <w:tcPr>
            <w:tcW w:w="1418" w:type="dxa"/>
            <w:vMerge w:val="continue"/>
            <w:vAlign w:val="center"/>
          </w:tcPr>
          <w:p>
            <w:pPr>
              <w:snapToGrid w:val="0"/>
              <w:spacing w:before="100" w:beforeAutospacing="1" w:line="276" w:lineRule="auto"/>
              <w:rPr>
                <w:rFonts w:hint="eastAsia" w:ascii="仿宋" w:hAnsi="仿宋" w:eastAsia="仿宋"/>
                <w:sz w:val="28"/>
                <w:szCs w:val="28"/>
              </w:rPr>
            </w:pPr>
          </w:p>
        </w:tc>
        <w:tc>
          <w:tcPr>
            <w:tcW w:w="6316" w:type="dxa"/>
            <w:gridSpan w:val="5"/>
            <w:vAlign w:val="center"/>
          </w:tcPr>
          <w:p>
            <w:pPr>
              <w:snapToGrid w:val="0"/>
              <w:spacing w:before="100" w:beforeAutospacing="1" w:line="276" w:lineRule="auto"/>
              <w:rPr>
                <w:rFonts w:ascii="仿宋" w:hAnsi="仿宋" w:eastAsia="仿宋"/>
                <w:sz w:val="28"/>
                <w:szCs w:val="28"/>
              </w:rPr>
            </w:pPr>
            <w:r>
              <w:rPr>
                <w:rFonts w:hint="eastAsia" w:ascii="微软雅黑" w:hAnsi="微软雅黑" w:eastAsia="微软雅黑" w:cs="Arial"/>
                <w:color w:val="000000" w:themeColor="text1"/>
                <w:sz w:val="21"/>
                <w:szCs w:val="21"/>
              </w:rPr>
              <w:t>★设备生产商的负载均衡类产品入选Gartner应用交付控制器（ADC）魔力象限报告，属于国际市场认可的知名品牌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before="100" w:beforeAutospacing="1" w:line="276" w:lineRule="auto"/>
              <w:rPr>
                <w:rFonts w:ascii="仿宋" w:hAnsi="仿宋" w:eastAsia="仿宋"/>
                <w:sz w:val="28"/>
                <w:szCs w:val="28"/>
              </w:rPr>
            </w:pPr>
          </w:p>
        </w:tc>
        <w:tc>
          <w:tcPr>
            <w:tcW w:w="1418" w:type="dxa"/>
            <w:vMerge w:val="continue"/>
            <w:vAlign w:val="center"/>
          </w:tcPr>
          <w:p>
            <w:pPr>
              <w:snapToGrid w:val="0"/>
              <w:spacing w:before="100" w:beforeAutospacing="1" w:line="276" w:lineRule="auto"/>
              <w:rPr>
                <w:rFonts w:ascii="仿宋" w:hAnsi="仿宋" w:eastAsia="仿宋"/>
                <w:sz w:val="28"/>
                <w:szCs w:val="28"/>
              </w:rPr>
            </w:pPr>
          </w:p>
        </w:tc>
        <w:tc>
          <w:tcPr>
            <w:tcW w:w="6316" w:type="dxa"/>
            <w:gridSpan w:val="5"/>
            <w:vAlign w:val="center"/>
          </w:tcPr>
          <w:p>
            <w:pPr>
              <w:snapToGrid w:val="0"/>
              <w:spacing w:before="100" w:beforeAutospacing="1" w:line="276" w:lineRule="auto"/>
              <w:rPr>
                <w:rFonts w:ascii="仿宋" w:hAnsi="仿宋" w:eastAsia="仿宋"/>
                <w:sz w:val="28"/>
                <w:szCs w:val="28"/>
              </w:rPr>
            </w:pPr>
            <w:r>
              <w:rPr>
                <w:rFonts w:hint="eastAsia" w:ascii="微软雅黑" w:hAnsi="微软雅黑" w:eastAsia="微软雅黑" w:cs="Arial"/>
                <w:color w:val="000000" w:themeColor="text1"/>
                <w:sz w:val="21"/>
                <w:szCs w:val="21"/>
              </w:rPr>
              <w:t>★设备生产商的负载均衡类产品在201</w:t>
            </w:r>
            <w:r>
              <w:rPr>
                <w:rFonts w:ascii="微软雅黑" w:hAnsi="微软雅黑" w:eastAsia="微软雅黑" w:cs="Arial"/>
                <w:color w:val="000000" w:themeColor="text1"/>
                <w:sz w:val="21"/>
                <w:szCs w:val="21"/>
              </w:rPr>
              <w:t>8</w:t>
            </w:r>
            <w:r>
              <w:rPr>
                <w:rFonts w:hint="eastAsia" w:ascii="微软雅黑" w:hAnsi="微软雅黑" w:eastAsia="微软雅黑" w:cs="Arial"/>
                <w:color w:val="000000" w:themeColor="text1"/>
                <w:sz w:val="21"/>
                <w:szCs w:val="21"/>
              </w:rPr>
              <w:t>年市场占有率达到前三名（提供如IDC、Frost&amp;Sullivan等第三方机构的市场统计报告）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before="100" w:beforeAutospacing="1" w:line="276" w:lineRule="auto"/>
              <w:rPr>
                <w:rFonts w:hint="eastAsia" w:ascii="仿宋" w:hAnsi="仿宋" w:eastAsia="仿宋"/>
                <w:sz w:val="28"/>
                <w:szCs w:val="28"/>
              </w:rPr>
            </w:pPr>
          </w:p>
        </w:tc>
        <w:tc>
          <w:tcPr>
            <w:tcW w:w="1418" w:type="dxa"/>
            <w:vMerge w:val="continue"/>
            <w:vAlign w:val="center"/>
          </w:tcPr>
          <w:p>
            <w:pPr>
              <w:snapToGrid w:val="0"/>
              <w:spacing w:before="100" w:beforeAutospacing="1" w:line="276" w:lineRule="auto"/>
              <w:rPr>
                <w:rFonts w:hint="eastAsia" w:ascii="仿宋" w:hAnsi="仿宋" w:eastAsia="仿宋"/>
                <w:sz w:val="28"/>
                <w:szCs w:val="28"/>
              </w:rPr>
            </w:pPr>
          </w:p>
        </w:tc>
        <w:tc>
          <w:tcPr>
            <w:tcW w:w="6316" w:type="dxa"/>
            <w:gridSpan w:val="5"/>
            <w:vAlign w:val="center"/>
          </w:tcPr>
          <w:p>
            <w:pPr>
              <w:snapToGrid w:val="0"/>
              <w:spacing w:before="100" w:beforeAutospacing="1" w:line="276" w:lineRule="auto"/>
              <w:rPr>
                <w:rFonts w:hint="eastAsia" w:ascii="仿宋" w:hAnsi="仿宋" w:eastAsia="仿宋"/>
                <w:sz w:val="28"/>
                <w:szCs w:val="28"/>
              </w:rPr>
            </w:pPr>
            <w:r>
              <w:rPr>
                <w:rFonts w:hint="eastAsia" w:ascii="微软雅黑" w:hAnsi="微软雅黑" w:eastAsia="微软雅黑" w:cs="Arial"/>
                <w:color w:val="000000" w:themeColor="text1"/>
                <w:sz w:val="21"/>
                <w:szCs w:val="21"/>
              </w:rPr>
              <w:t>★所投产品具备国家工业和信息化部颁发的《电信设备进网许可证》(提供复印件)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snapToGrid w:val="0"/>
              <w:spacing w:line="276" w:lineRule="auto"/>
              <w:rPr>
                <w:rFonts w:hint="eastAsia" w:ascii="仿宋" w:hAnsi="仿宋" w:eastAsia="仿宋"/>
                <w:sz w:val="28"/>
                <w:szCs w:val="28"/>
              </w:rPr>
            </w:pPr>
            <w:r>
              <w:rPr>
                <w:rFonts w:hint="eastAsia" w:ascii="微软雅黑" w:hAnsi="微软雅黑" w:eastAsia="微软雅黑" w:cs="Arial"/>
                <w:color w:val="000000" w:themeColor="text1"/>
                <w:sz w:val="21"/>
                <w:szCs w:val="21"/>
              </w:rPr>
              <w:t>2</w:t>
            </w:r>
          </w:p>
        </w:tc>
        <w:tc>
          <w:tcPr>
            <w:tcW w:w="1418" w:type="dxa"/>
            <w:vMerge w:val="restart"/>
            <w:vAlign w:val="center"/>
          </w:tcPr>
          <w:p>
            <w:pPr>
              <w:snapToGrid w:val="0"/>
              <w:spacing w:line="276" w:lineRule="auto"/>
              <w:rPr>
                <w:rFonts w:hint="eastAsia" w:ascii="仿宋" w:hAnsi="仿宋" w:eastAsia="仿宋"/>
                <w:sz w:val="28"/>
                <w:szCs w:val="28"/>
              </w:rPr>
            </w:pPr>
            <w:r>
              <w:rPr>
                <w:rFonts w:hint="eastAsia" w:ascii="微软雅黑" w:hAnsi="微软雅黑" w:eastAsia="微软雅黑" w:cs="Arial"/>
                <w:b/>
                <w:color w:val="000000" w:themeColor="text1"/>
                <w:sz w:val="21"/>
                <w:szCs w:val="21"/>
              </w:rPr>
              <w:t>售后服务</w:t>
            </w:r>
          </w:p>
        </w:tc>
        <w:tc>
          <w:tcPr>
            <w:tcW w:w="6316" w:type="dxa"/>
            <w:gridSpan w:val="5"/>
            <w:vAlign w:val="center"/>
          </w:tcPr>
          <w:p>
            <w:pPr>
              <w:snapToGrid w:val="0"/>
              <w:spacing w:line="276" w:lineRule="auto"/>
              <w:rPr>
                <w:rFonts w:hint="eastAsia" w:ascii="仿宋" w:hAnsi="仿宋" w:eastAsia="仿宋"/>
                <w:sz w:val="28"/>
                <w:szCs w:val="28"/>
              </w:rPr>
            </w:pPr>
            <w:r>
              <w:rPr>
                <w:rFonts w:hint="eastAsia" w:ascii="微软雅黑" w:hAnsi="微软雅黑" w:eastAsia="微软雅黑" w:cs="Arial"/>
                <w:color w:val="000000" w:themeColor="text1"/>
                <w:sz w:val="21"/>
                <w:szCs w:val="21"/>
              </w:rPr>
              <w:t xml:space="preserve">生产厂商在本地有售后服务人员及机构（需提供相关证明），并在本地设有产品备件库。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rPr>
                <w:rFonts w:ascii="仿宋" w:hAnsi="仿宋" w:eastAsia="仿宋"/>
                <w:sz w:val="28"/>
                <w:szCs w:val="28"/>
              </w:rPr>
            </w:pPr>
          </w:p>
        </w:tc>
        <w:tc>
          <w:tcPr>
            <w:tcW w:w="1418" w:type="dxa"/>
            <w:vMerge w:val="continue"/>
            <w:vAlign w:val="center"/>
          </w:tcPr>
          <w:p>
            <w:pPr>
              <w:rPr>
                <w:rFonts w:ascii="仿宋" w:hAnsi="仿宋" w:eastAsia="仿宋"/>
                <w:sz w:val="28"/>
                <w:szCs w:val="28"/>
              </w:rPr>
            </w:pPr>
          </w:p>
        </w:tc>
        <w:tc>
          <w:tcPr>
            <w:tcW w:w="6316" w:type="dxa"/>
            <w:gridSpan w:val="5"/>
            <w:vAlign w:val="center"/>
          </w:tcPr>
          <w:p>
            <w:pPr>
              <w:snapToGrid w:val="0"/>
              <w:spacing w:line="276" w:lineRule="auto"/>
              <w:rPr>
                <w:rFonts w:ascii="仿宋" w:hAnsi="仿宋" w:eastAsia="仿宋"/>
                <w:sz w:val="28"/>
                <w:szCs w:val="28"/>
              </w:rPr>
            </w:pPr>
            <w:r>
              <w:rPr>
                <w:rFonts w:hint="eastAsia" w:ascii="微软雅黑" w:hAnsi="微软雅黑" w:eastAsia="微软雅黑" w:cs="Arial"/>
                <w:color w:val="000000" w:themeColor="text1"/>
                <w:sz w:val="21"/>
                <w:szCs w:val="21"/>
              </w:rPr>
              <w:t>★须提供原厂商针对本项目的服务授权承诺函正本，且厂商服务规范须通过ISO 9001国际质量认证体系认证。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tcPr>
          <w:p>
            <w:pPr>
              <w:jc w:val="center"/>
              <w:rPr>
                <w:rFonts w:ascii="仿宋" w:hAnsi="仿宋" w:eastAsia="仿宋"/>
                <w:sz w:val="28"/>
                <w:szCs w:val="28"/>
              </w:rPr>
            </w:pPr>
            <w:r>
              <w:rPr>
                <w:rFonts w:hint="eastAsia" w:ascii="仿宋" w:hAnsi="仿宋" w:eastAsia="仿宋"/>
                <w:sz w:val="28"/>
                <w:szCs w:val="28"/>
              </w:rPr>
              <w:t>申报人</w:t>
            </w:r>
          </w:p>
        </w:tc>
        <w:tc>
          <w:tcPr>
            <w:tcW w:w="2410" w:type="dxa"/>
            <w:gridSpan w:val="3"/>
          </w:tcPr>
          <w:p>
            <w:pPr>
              <w:rPr>
                <w:rFonts w:ascii="仿宋" w:hAnsi="仿宋" w:eastAsia="仿宋"/>
                <w:sz w:val="28"/>
                <w:szCs w:val="28"/>
              </w:rPr>
            </w:pPr>
          </w:p>
        </w:tc>
        <w:tc>
          <w:tcPr>
            <w:tcW w:w="1842" w:type="dxa"/>
          </w:tcPr>
          <w:p>
            <w:pPr>
              <w:rPr>
                <w:rFonts w:ascii="仿宋" w:hAnsi="仿宋" w:eastAsia="仿宋"/>
                <w:sz w:val="28"/>
                <w:szCs w:val="28"/>
              </w:rPr>
            </w:pPr>
            <w:r>
              <w:rPr>
                <w:rFonts w:hint="eastAsia" w:ascii="仿宋" w:hAnsi="仿宋" w:eastAsia="仿宋"/>
                <w:sz w:val="28"/>
                <w:szCs w:val="28"/>
              </w:rPr>
              <w:t>单位负责人</w:t>
            </w:r>
          </w:p>
        </w:tc>
        <w:tc>
          <w:tcPr>
            <w:tcW w:w="2064"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tcPr>
          <w:p>
            <w:pPr>
              <w:rPr>
                <w:rFonts w:ascii="仿宋" w:hAnsi="仿宋" w:eastAsia="仿宋"/>
                <w:sz w:val="28"/>
                <w:szCs w:val="28"/>
              </w:rPr>
            </w:pPr>
            <w:r>
              <w:rPr>
                <w:rFonts w:hint="eastAsia" w:ascii="仿宋" w:hAnsi="仿宋" w:eastAsia="仿宋"/>
                <w:sz w:val="28"/>
                <w:szCs w:val="28"/>
              </w:rPr>
              <w:t>实验室与资产管理处</w:t>
            </w:r>
          </w:p>
        </w:tc>
        <w:tc>
          <w:tcPr>
            <w:tcW w:w="5466" w:type="dxa"/>
            <w:gridSpan w:val="4"/>
          </w:tcPr>
          <w:p>
            <w:pPr>
              <w:rPr>
                <w:rFonts w:ascii="仿宋" w:hAnsi="仿宋" w:eastAsia="仿宋"/>
                <w:sz w:val="28"/>
                <w:szCs w:val="28"/>
              </w:rPr>
            </w:pPr>
          </w:p>
        </w:tc>
      </w:tr>
    </w:tbl>
    <w:p>
      <w:pPr>
        <w:ind w:left="443" w:hanging="443" w:hangingChars="245"/>
        <w:jc w:val="left"/>
        <w:rPr>
          <w:rFonts w:ascii="仿宋" w:hAnsi="仿宋" w:eastAsia="仿宋"/>
          <w:sz w:val="32"/>
        </w:rPr>
      </w:pPr>
      <w:r>
        <w:rPr>
          <w:rFonts w:hint="eastAsia" w:ascii="仿宋" w:hAnsi="仿宋" w:eastAsia="仿宋"/>
          <w:b/>
          <w:sz w:val="18"/>
          <w:szCs w:val="18"/>
        </w:rPr>
        <w:t>注：</w:t>
      </w:r>
      <w:r>
        <w:rPr>
          <w:rFonts w:ascii="仿宋" w:hAnsi="仿宋" w:eastAsia="仿宋"/>
          <w:b/>
          <w:sz w:val="18"/>
          <w:szCs w:val="18"/>
        </w:rPr>
        <w:t xml:space="preserve"> 1</w:t>
      </w:r>
      <w:r>
        <w:rPr>
          <w:rFonts w:hint="eastAsia" w:ascii="仿宋" w:hAnsi="仿宋" w:eastAsia="仿宋"/>
          <w:b/>
          <w:sz w:val="18"/>
          <w:szCs w:val="18"/>
        </w:rPr>
        <w:t>、参数不可与已获批学年采购预算有冲突，如有冲突以已批准采购文件为准</w:t>
      </w:r>
      <w:r>
        <w:rPr>
          <w:rFonts w:ascii="仿宋" w:hAnsi="仿宋" w:eastAsia="仿宋"/>
          <w:b/>
          <w:sz w:val="18"/>
          <w:szCs w:val="18"/>
        </w:rPr>
        <w:t>2</w:t>
      </w:r>
      <w:r>
        <w:rPr>
          <w:rFonts w:hint="eastAsia" w:ascii="仿宋" w:hAnsi="仿宋" w:eastAsia="仿宋"/>
          <w:b/>
          <w:sz w:val="18"/>
          <w:szCs w:val="18"/>
        </w:rPr>
        <w:t>、不得含有排他性技术指标</w:t>
      </w:r>
      <w:r>
        <w:rPr>
          <w:rFonts w:ascii="仿宋" w:hAnsi="仿宋" w:eastAsia="仿宋"/>
          <w:b/>
          <w:sz w:val="18"/>
          <w:szCs w:val="18"/>
        </w:rPr>
        <w:t>3</w:t>
      </w:r>
      <w:r>
        <w:rPr>
          <w:rFonts w:hint="eastAsia" w:ascii="仿宋" w:hAnsi="仿宋" w:eastAsia="仿宋"/>
          <w:b/>
          <w:sz w:val="18"/>
          <w:szCs w:val="18"/>
        </w:rPr>
        <w:t>、条目可根据具体情况增减</w:t>
      </w:r>
      <w:r>
        <w:rPr>
          <w:rFonts w:ascii="仿宋" w:hAnsi="仿宋" w:eastAsia="仿宋"/>
          <w:b/>
          <w:sz w:val="18"/>
          <w:szCs w:val="18"/>
        </w:rPr>
        <w:t>4</w:t>
      </w:r>
      <w:r>
        <w:rPr>
          <w:rFonts w:hint="eastAsia" w:ascii="仿宋" w:hAnsi="仿宋" w:eastAsia="仿宋"/>
          <w:b/>
          <w:sz w:val="18"/>
          <w:szCs w:val="18"/>
        </w:rPr>
        <w:t>、本页不够可另起一页。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2522"/>
    <w:rsid w:val="00015C49"/>
    <w:rsid w:val="00027AA6"/>
    <w:rsid w:val="00030EE8"/>
    <w:rsid w:val="00085AD5"/>
    <w:rsid w:val="000E0E4C"/>
    <w:rsid w:val="0011654D"/>
    <w:rsid w:val="00231DAD"/>
    <w:rsid w:val="002716BA"/>
    <w:rsid w:val="0028660C"/>
    <w:rsid w:val="002959D1"/>
    <w:rsid w:val="00392720"/>
    <w:rsid w:val="003A75FF"/>
    <w:rsid w:val="00474700"/>
    <w:rsid w:val="004B62D7"/>
    <w:rsid w:val="00510E97"/>
    <w:rsid w:val="005C16E2"/>
    <w:rsid w:val="005D76EF"/>
    <w:rsid w:val="005E2522"/>
    <w:rsid w:val="005F4D88"/>
    <w:rsid w:val="006A3088"/>
    <w:rsid w:val="00741CF4"/>
    <w:rsid w:val="00800245"/>
    <w:rsid w:val="00821514"/>
    <w:rsid w:val="00890F4F"/>
    <w:rsid w:val="008E6A4A"/>
    <w:rsid w:val="00A2753A"/>
    <w:rsid w:val="00A702C0"/>
    <w:rsid w:val="00A779CA"/>
    <w:rsid w:val="00AE077E"/>
    <w:rsid w:val="00C34178"/>
    <w:rsid w:val="00C5521A"/>
    <w:rsid w:val="00C65A79"/>
    <w:rsid w:val="00C74CA6"/>
    <w:rsid w:val="00C76CD3"/>
    <w:rsid w:val="00D131B1"/>
    <w:rsid w:val="00D66CF2"/>
    <w:rsid w:val="00DD7996"/>
    <w:rsid w:val="00E11975"/>
    <w:rsid w:val="00E84C73"/>
    <w:rsid w:val="00ED3E9A"/>
    <w:rsid w:val="00F84325"/>
    <w:rsid w:val="00FA1B47"/>
    <w:rsid w:val="319009B2"/>
    <w:rsid w:val="618340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282</Words>
  <Characters>1608</Characters>
  <Lines>13</Lines>
  <Paragraphs>3</Paragraphs>
  <TotalTime>2</TotalTime>
  <ScaleCrop>false</ScaleCrop>
  <LinksUpToDate>false</LinksUpToDate>
  <CharactersWithSpaces>1887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2018-06-26T01:11:00Z</dcterms:created>
  <dc:creator>李 一男</dc:creator>
  <cp:lastModifiedBy>Administrator</cp:lastModifiedBy>
  <cp:lastPrinted>2018-06-25T01:57:00Z</cp:lastPrinted>
  <dcterms:modified xsi:type="dcterms:W3CDTF">2020-07-23T03:16:43Z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